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737CF53" w14:textId="77777777" w:rsidR="00811A35" w:rsidRDefault="007134A2">
      <w:pPr>
        <w:widowControl w:val="0"/>
        <w:autoSpaceDE w:val="0"/>
        <w:autoSpaceDN w:val="0"/>
        <w:adjustRightInd w:val="0"/>
        <w:rPr>
          <w:rFonts w:ascii="serif" w:hAnsi="serif" w:cs="serif"/>
          <w:color w:val="000000"/>
        </w:rPr>
      </w:pPr>
      <w:r>
        <w:rPr>
          <w:rFonts w:ascii="serif" w:hAnsi="serif" w:cs="serif"/>
          <w:noProof/>
          <w:color w:val="000000"/>
        </w:rPr>
        <w:drawing>
          <wp:inline distT="0" distB="0" distL="0" distR="0" wp14:anchorId="5D074C0B" wp14:editId="7BFD342D">
            <wp:extent cx="1885950" cy="381000"/>
            <wp:effectExtent l="19050" t="0" r="0" b="0"/>
            <wp:docPr id="1" name="Picture 2" descr="PLTSSClockup_jpg_1.5w_294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SSClockup_jpg_1.5w_294RGB.jpg"/>
                    <pic:cNvPicPr>
                      <a:picLocks noChangeAspect="1" noChangeArrowheads="1"/>
                    </pic:cNvPicPr>
                  </pic:nvPicPr>
                  <pic:blipFill>
                    <a:blip r:embed="rId11"/>
                    <a:srcRect/>
                    <a:stretch>
                      <a:fillRect/>
                    </a:stretch>
                  </pic:blipFill>
                  <pic:spPr bwMode="auto">
                    <a:xfrm>
                      <a:off x="0" y="0"/>
                      <a:ext cx="1885950" cy="381000"/>
                    </a:xfrm>
                    <a:prstGeom prst="rect">
                      <a:avLst/>
                    </a:prstGeom>
                    <a:noFill/>
                    <a:ln w="9525">
                      <a:noFill/>
                      <a:miter lim="800000"/>
                      <a:headEnd/>
                      <a:tailEnd/>
                    </a:ln>
                  </pic:spPr>
                </pic:pic>
              </a:graphicData>
            </a:graphic>
          </wp:inline>
        </w:drawing>
      </w:r>
    </w:p>
    <w:p w14:paraId="031967DE" w14:textId="77777777" w:rsidR="00811A35" w:rsidRDefault="00811A35">
      <w:pPr>
        <w:jc w:val="center"/>
        <w:rPr>
          <w:b/>
          <w:sz w:val="32"/>
          <w:szCs w:val="32"/>
        </w:rPr>
      </w:pPr>
    </w:p>
    <w:p w14:paraId="00B2526B" w14:textId="77777777" w:rsidR="00811A35" w:rsidRDefault="007134A2">
      <w:pPr>
        <w:jc w:val="center"/>
        <w:outlineLvl w:val="0"/>
        <w:rPr>
          <w:b/>
          <w:sz w:val="32"/>
          <w:szCs w:val="32"/>
        </w:rPr>
      </w:pPr>
      <w:r>
        <w:rPr>
          <w:b/>
          <w:sz w:val="32"/>
          <w:szCs w:val="32"/>
        </w:rPr>
        <w:t>PRESS RELEASE</w:t>
      </w:r>
    </w:p>
    <w:p w14:paraId="54109123" w14:textId="77777777" w:rsidR="00811A35" w:rsidRDefault="007134A2">
      <w:pPr>
        <w:widowControl w:val="0"/>
        <w:autoSpaceDE w:val="0"/>
        <w:autoSpaceDN w:val="0"/>
        <w:adjustRightInd w:val="0"/>
        <w:jc w:val="center"/>
        <w:rPr>
          <w:rFonts w:ascii="serif" w:hAnsi="serif" w:cs="serif"/>
          <w:color w:val="000000"/>
        </w:rPr>
      </w:pPr>
      <w:r>
        <w:rPr>
          <w:rFonts w:ascii="serif" w:hAnsi="serif" w:cs="serif"/>
          <w:color w:val="000000"/>
        </w:rPr>
        <w:t> </w:t>
      </w:r>
    </w:p>
    <w:tbl>
      <w:tblPr>
        <w:tblW w:w="10295" w:type="dxa"/>
        <w:tblLayout w:type="fixed"/>
        <w:tblCellMar>
          <w:left w:w="0" w:type="dxa"/>
          <w:right w:w="0" w:type="dxa"/>
        </w:tblCellMar>
        <w:tblLook w:val="0000" w:firstRow="0" w:lastRow="0" w:firstColumn="0" w:lastColumn="0" w:noHBand="0" w:noVBand="0"/>
      </w:tblPr>
      <w:tblGrid>
        <w:gridCol w:w="5147"/>
        <w:gridCol w:w="5148"/>
      </w:tblGrid>
      <w:tr w:rsidR="00811A35" w14:paraId="3ECA1E30" w14:textId="77777777">
        <w:trPr>
          <w:trHeight w:val="62"/>
        </w:trPr>
        <w:tc>
          <w:tcPr>
            <w:tcW w:w="5147" w:type="dxa"/>
            <w:tcBorders>
              <w:top w:val="nil"/>
              <w:left w:val="nil"/>
              <w:bottom w:val="nil"/>
              <w:right w:val="nil"/>
            </w:tcBorders>
          </w:tcPr>
          <w:p w14:paraId="1A9CDA61" w14:textId="77777777" w:rsidR="00811A35" w:rsidRDefault="007134A2">
            <w:pPr>
              <w:widowControl w:val="0"/>
              <w:autoSpaceDE w:val="0"/>
              <w:autoSpaceDN w:val="0"/>
              <w:adjustRightInd w:val="0"/>
              <w:rPr>
                <w:rFonts w:ascii="serif" w:hAnsi="serif" w:cs="serif"/>
                <w:color w:val="000000"/>
              </w:rPr>
            </w:pPr>
            <w:r>
              <w:rPr>
                <w:color w:val="000000"/>
                <w:sz w:val="20"/>
                <w:szCs w:val="20"/>
              </w:rPr>
              <w:t>INVESTOR CONTACT:</w:t>
            </w:r>
          </w:p>
          <w:p w14:paraId="0E728CD7" w14:textId="77777777" w:rsidR="00811A35" w:rsidRDefault="007134A2">
            <w:pPr>
              <w:widowControl w:val="0"/>
              <w:autoSpaceDE w:val="0"/>
              <w:autoSpaceDN w:val="0"/>
              <w:adjustRightInd w:val="0"/>
              <w:rPr>
                <w:rFonts w:ascii="serif" w:hAnsi="serif" w:cs="serif"/>
                <w:color w:val="000000"/>
              </w:rPr>
            </w:pPr>
            <w:r>
              <w:rPr>
                <w:color w:val="000000"/>
                <w:sz w:val="20"/>
                <w:szCs w:val="20"/>
              </w:rPr>
              <w:t>Greg Klaben</w:t>
            </w:r>
          </w:p>
          <w:p w14:paraId="5B91C029" w14:textId="77777777" w:rsidR="00811A35" w:rsidRDefault="007134A2">
            <w:pPr>
              <w:widowControl w:val="0"/>
              <w:autoSpaceDE w:val="0"/>
              <w:autoSpaceDN w:val="0"/>
              <w:adjustRightInd w:val="0"/>
              <w:rPr>
                <w:rFonts w:ascii="serif" w:hAnsi="serif" w:cs="serif"/>
                <w:color w:val="000000"/>
              </w:rPr>
            </w:pPr>
            <w:r>
              <w:rPr>
                <w:color w:val="000000"/>
                <w:sz w:val="20"/>
                <w:szCs w:val="20"/>
              </w:rPr>
              <w:t>Vice President of Investor Relations</w:t>
            </w:r>
          </w:p>
          <w:p w14:paraId="0185DD9C" w14:textId="77777777" w:rsidR="00811A35" w:rsidRDefault="007134A2">
            <w:pPr>
              <w:widowControl w:val="0"/>
              <w:autoSpaceDE w:val="0"/>
              <w:autoSpaceDN w:val="0"/>
              <w:adjustRightInd w:val="0"/>
              <w:rPr>
                <w:color w:val="000000"/>
                <w:sz w:val="20"/>
                <w:szCs w:val="20"/>
              </w:rPr>
            </w:pPr>
            <w:r>
              <w:rPr>
                <w:color w:val="000000"/>
                <w:sz w:val="20"/>
                <w:szCs w:val="20"/>
              </w:rPr>
              <w:t>(831) 458-7533</w:t>
            </w:r>
          </w:p>
          <w:p w14:paraId="07934EB1" w14:textId="77777777" w:rsidR="00811A35" w:rsidRDefault="00811A35">
            <w:pPr>
              <w:widowControl w:val="0"/>
              <w:autoSpaceDE w:val="0"/>
              <w:autoSpaceDN w:val="0"/>
              <w:adjustRightInd w:val="0"/>
              <w:rPr>
                <w:rFonts w:ascii="serif" w:hAnsi="serif" w:cs="serif"/>
                <w:color w:val="000000"/>
              </w:rPr>
            </w:pPr>
          </w:p>
        </w:tc>
        <w:tc>
          <w:tcPr>
            <w:tcW w:w="5148" w:type="dxa"/>
            <w:tcBorders>
              <w:top w:val="nil"/>
              <w:left w:val="nil"/>
              <w:bottom w:val="nil"/>
              <w:right w:val="nil"/>
            </w:tcBorders>
          </w:tcPr>
          <w:p w14:paraId="393E8570" w14:textId="77777777" w:rsidR="00811A35" w:rsidRDefault="007134A2">
            <w:pPr>
              <w:widowControl w:val="0"/>
              <w:autoSpaceDE w:val="0"/>
              <w:autoSpaceDN w:val="0"/>
              <w:adjustRightInd w:val="0"/>
              <w:rPr>
                <w:color w:val="000000"/>
                <w:sz w:val="20"/>
                <w:szCs w:val="20"/>
              </w:rPr>
            </w:pPr>
            <w:bookmarkStart w:id="0" w:name="_GoBack"/>
            <w:r>
              <w:rPr>
                <w:color w:val="000000"/>
                <w:sz w:val="20"/>
                <w:szCs w:val="20"/>
              </w:rPr>
              <w:t>MEDIA CONTACT:</w:t>
            </w:r>
          </w:p>
          <w:p w14:paraId="2E91F451" w14:textId="77777777" w:rsidR="00811A35" w:rsidRDefault="006F76FC">
            <w:pPr>
              <w:widowControl w:val="0"/>
              <w:autoSpaceDE w:val="0"/>
              <w:autoSpaceDN w:val="0"/>
              <w:adjustRightInd w:val="0"/>
              <w:rPr>
                <w:rFonts w:ascii="serif" w:hAnsi="serif" w:cs="serif"/>
                <w:color w:val="000000"/>
              </w:rPr>
            </w:pPr>
            <w:r>
              <w:rPr>
                <w:color w:val="000000"/>
                <w:sz w:val="20"/>
                <w:szCs w:val="20"/>
              </w:rPr>
              <w:t>George Gutierrez</w:t>
            </w:r>
          </w:p>
          <w:p w14:paraId="30568252" w14:textId="77777777" w:rsidR="00811A35" w:rsidRDefault="007134A2">
            <w:pPr>
              <w:widowControl w:val="0"/>
              <w:autoSpaceDE w:val="0"/>
              <w:autoSpaceDN w:val="0"/>
              <w:adjustRightInd w:val="0"/>
              <w:rPr>
                <w:rFonts w:ascii="serif" w:hAnsi="serif" w:cs="serif"/>
                <w:color w:val="000000"/>
              </w:rPr>
            </w:pPr>
            <w:r>
              <w:rPr>
                <w:color w:val="000000"/>
                <w:sz w:val="20"/>
                <w:szCs w:val="20"/>
              </w:rPr>
              <w:t>Vice President of Global Communications</w:t>
            </w:r>
          </w:p>
          <w:p w14:paraId="01D254CA" w14:textId="77777777" w:rsidR="00811A35" w:rsidRDefault="007134A2">
            <w:pPr>
              <w:widowControl w:val="0"/>
              <w:autoSpaceDE w:val="0"/>
              <w:autoSpaceDN w:val="0"/>
              <w:adjustRightInd w:val="0"/>
              <w:rPr>
                <w:color w:val="000000"/>
                <w:sz w:val="20"/>
                <w:szCs w:val="20"/>
              </w:rPr>
            </w:pPr>
            <w:r>
              <w:rPr>
                <w:color w:val="000000"/>
                <w:sz w:val="20"/>
                <w:szCs w:val="20"/>
              </w:rPr>
              <w:t>(831) 458-</w:t>
            </w:r>
            <w:r w:rsidR="006F76FC">
              <w:rPr>
                <w:color w:val="000000"/>
                <w:sz w:val="20"/>
                <w:szCs w:val="20"/>
              </w:rPr>
              <w:t>7537</w:t>
            </w:r>
          </w:p>
          <w:bookmarkEnd w:id="0"/>
          <w:p w14:paraId="7D0B8A6B" w14:textId="77777777" w:rsidR="00811A35" w:rsidRDefault="00811A35">
            <w:pPr>
              <w:widowControl w:val="0"/>
              <w:autoSpaceDE w:val="0"/>
              <w:autoSpaceDN w:val="0"/>
              <w:adjustRightInd w:val="0"/>
              <w:rPr>
                <w:rFonts w:ascii="Times" w:hAnsi="Times" w:cs="serif"/>
                <w:color w:val="000000"/>
                <w:sz w:val="20"/>
                <w:szCs w:val="20"/>
                <w:vertAlign w:val="subscript"/>
              </w:rPr>
            </w:pPr>
          </w:p>
        </w:tc>
      </w:tr>
    </w:tbl>
    <w:p w14:paraId="6AF4F6D2" w14:textId="77777777" w:rsidR="00811A35" w:rsidRDefault="007134A2">
      <w:pPr>
        <w:pStyle w:val="BodyText2"/>
        <w:spacing w:after="0"/>
      </w:pPr>
      <w:bookmarkStart w:id="1" w:name="OLE_LINK1"/>
      <w:bookmarkStart w:id="2" w:name="OLE_LINK2"/>
      <w:bookmarkStart w:id="3" w:name="OLE_LINK16"/>
      <w:bookmarkStart w:id="4" w:name="OLE_LINK17"/>
      <w:r>
        <w:t>Plantronics Announces F</w:t>
      </w:r>
      <w:r w:rsidR="00546A11">
        <w:t xml:space="preserve">irst Quarter </w:t>
      </w:r>
      <w:r>
        <w:t xml:space="preserve">Fiscal Year </w:t>
      </w:r>
      <w:r w:rsidR="00546A11">
        <w:t>2016</w:t>
      </w:r>
      <w:r w:rsidR="006F76FC">
        <w:t xml:space="preserve"> </w:t>
      </w:r>
      <w:r w:rsidR="005B4566">
        <w:t xml:space="preserve">Financial </w:t>
      </w:r>
      <w:r>
        <w:t>Results</w:t>
      </w:r>
    </w:p>
    <w:p w14:paraId="52ADB8E5" w14:textId="77777777" w:rsidR="00316B31" w:rsidRPr="00316B31" w:rsidRDefault="00316B31">
      <w:pPr>
        <w:pStyle w:val="BodyText2"/>
        <w:spacing w:after="0"/>
        <w:rPr>
          <w:b w:val="0"/>
          <w:i/>
          <w:sz w:val="24"/>
        </w:rPr>
      </w:pPr>
      <w:r w:rsidRPr="00316B31">
        <w:rPr>
          <w:b w:val="0"/>
          <w:i/>
          <w:sz w:val="24"/>
        </w:rPr>
        <w:t>Revenue and Profitability in Line with Guidance</w:t>
      </w:r>
      <w:r w:rsidR="00A1689C">
        <w:rPr>
          <w:b w:val="0"/>
          <w:i/>
          <w:sz w:val="24"/>
        </w:rPr>
        <w:t>; 10 Millionth Unified Communications Headset Shipped</w:t>
      </w:r>
    </w:p>
    <w:p w14:paraId="6D9B0487" w14:textId="77777777" w:rsidR="0079685C" w:rsidRDefault="0079685C">
      <w:pPr>
        <w:pStyle w:val="BodyText2"/>
        <w:spacing w:after="0"/>
      </w:pPr>
    </w:p>
    <w:p w14:paraId="6F0998FD" w14:textId="77777777" w:rsidR="00811A35" w:rsidRDefault="007134A2">
      <w:pPr>
        <w:pStyle w:val="Style1"/>
      </w:pPr>
      <w:r>
        <w:rPr>
          <w:b/>
          <w:bCs/>
        </w:rPr>
        <w:t xml:space="preserve">SANTA CRUZ, CA </w:t>
      </w:r>
      <w:r>
        <w:rPr>
          <w:bCs/>
        </w:rPr>
        <w:t xml:space="preserve">– </w:t>
      </w:r>
      <w:r w:rsidR="005B4566">
        <w:rPr>
          <w:bCs/>
        </w:rPr>
        <w:t>July</w:t>
      </w:r>
      <w:r w:rsidR="006F76FC">
        <w:rPr>
          <w:bCs/>
        </w:rPr>
        <w:t xml:space="preserve"> 27, 2015</w:t>
      </w:r>
      <w:r>
        <w:rPr>
          <w:bCs/>
        </w:rPr>
        <w:t xml:space="preserve"> -</w:t>
      </w:r>
      <w:r>
        <w:t xml:space="preserve"> </w:t>
      </w:r>
      <w:r>
        <w:rPr>
          <w:bCs/>
        </w:rPr>
        <w:t>Plantronics, Inc. (NYSE: PLT) today announced f</w:t>
      </w:r>
      <w:r w:rsidR="005B4566">
        <w:rPr>
          <w:bCs/>
        </w:rPr>
        <w:t>irst</w:t>
      </w:r>
      <w:r>
        <w:t xml:space="preserve"> quarter fiscal year </w:t>
      </w:r>
      <w:r w:rsidR="005B4566">
        <w:t>2016</w:t>
      </w:r>
      <w:r w:rsidR="006F76FC">
        <w:t xml:space="preserve"> </w:t>
      </w:r>
      <w:r w:rsidR="005B4566">
        <w:t xml:space="preserve">financial </w:t>
      </w:r>
      <w:r>
        <w:t xml:space="preserve">results.  Highlights of the </w:t>
      </w:r>
      <w:r w:rsidR="005B4566">
        <w:t>first</w:t>
      </w:r>
      <w:r w:rsidR="00FE2CB4">
        <w:t xml:space="preserve"> </w:t>
      </w:r>
      <w:r>
        <w:t xml:space="preserve">quarter include the following (comparisons are against the </w:t>
      </w:r>
      <w:r w:rsidR="005B4566">
        <w:t>first</w:t>
      </w:r>
      <w:r>
        <w:t xml:space="preserve"> quarter of fiscal year </w:t>
      </w:r>
      <w:r w:rsidR="005B4566">
        <w:t>2015</w:t>
      </w:r>
      <w:r>
        <w:t xml:space="preserve">): </w:t>
      </w:r>
    </w:p>
    <w:p w14:paraId="5E3F1C1E" w14:textId="77777777" w:rsidR="00B12F9C" w:rsidRDefault="007134A2" w:rsidP="00B66898">
      <w:pPr>
        <w:pStyle w:val="Style1"/>
        <w:numPr>
          <w:ilvl w:val="0"/>
          <w:numId w:val="12"/>
        </w:numPr>
      </w:pPr>
      <w:r>
        <w:t>Net revenues were $</w:t>
      </w:r>
      <w:r w:rsidR="005B4566">
        <w:t>206.4</w:t>
      </w:r>
      <w:r w:rsidR="006F76FC">
        <w:t xml:space="preserve"> </w:t>
      </w:r>
      <w:r>
        <w:t>million compared with $</w:t>
      </w:r>
      <w:r w:rsidR="005B4566">
        <w:t>216.7</w:t>
      </w:r>
      <w:r w:rsidR="00B66898">
        <w:t xml:space="preserve"> million</w:t>
      </w:r>
    </w:p>
    <w:p w14:paraId="36268EA1" w14:textId="77777777" w:rsidR="00811A35" w:rsidRDefault="007134A2">
      <w:pPr>
        <w:pStyle w:val="Style1"/>
        <w:numPr>
          <w:ilvl w:val="0"/>
          <w:numId w:val="12"/>
        </w:numPr>
      </w:pPr>
      <w:r>
        <w:t xml:space="preserve">GAAP gross margin was </w:t>
      </w:r>
      <w:r w:rsidR="005B4566">
        <w:t>52.0</w:t>
      </w:r>
      <w:r>
        <w:t xml:space="preserve">% compared with </w:t>
      </w:r>
      <w:r w:rsidR="006F76FC">
        <w:t>5</w:t>
      </w:r>
      <w:r w:rsidR="005B4566">
        <w:t>2.9</w:t>
      </w:r>
      <w:r>
        <w:t>%</w:t>
      </w:r>
    </w:p>
    <w:p w14:paraId="003A8744" w14:textId="77777777" w:rsidR="00811A35" w:rsidRDefault="007134A2">
      <w:pPr>
        <w:pStyle w:val="Style1"/>
        <w:numPr>
          <w:ilvl w:val="1"/>
          <w:numId w:val="12"/>
        </w:numPr>
      </w:pPr>
      <w:r>
        <w:t xml:space="preserve">Non-GAAP gross margin was </w:t>
      </w:r>
      <w:r w:rsidR="005B4566">
        <w:t>52.4</w:t>
      </w:r>
      <w:r>
        <w:t xml:space="preserve">% compared with </w:t>
      </w:r>
      <w:r w:rsidR="005B4566">
        <w:t>53.2</w:t>
      </w:r>
      <w:r>
        <w:t>%.</w:t>
      </w:r>
    </w:p>
    <w:p w14:paraId="6063E7D6" w14:textId="77777777" w:rsidR="00811A35" w:rsidRDefault="007134A2">
      <w:pPr>
        <w:pStyle w:val="Style1"/>
        <w:numPr>
          <w:ilvl w:val="0"/>
          <w:numId w:val="12"/>
        </w:numPr>
      </w:pPr>
      <w:r>
        <w:t>GAAP operating income was $</w:t>
      </w:r>
      <w:r w:rsidR="005B4566">
        <w:t>29.4</w:t>
      </w:r>
      <w:r>
        <w:t xml:space="preserve"> million compared with $</w:t>
      </w:r>
      <w:r w:rsidR="005B4566">
        <w:t>37.8</w:t>
      </w:r>
      <w:r>
        <w:t xml:space="preserve"> million</w:t>
      </w:r>
    </w:p>
    <w:p w14:paraId="73C1D60E" w14:textId="77777777" w:rsidR="00811A35" w:rsidRDefault="007134A2">
      <w:pPr>
        <w:pStyle w:val="Style1"/>
        <w:numPr>
          <w:ilvl w:val="1"/>
          <w:numId w:val="12"/>
        </w:numPr>
      </w:pPr>
      <w:r>
        <w:t xml:space="preserve"> Non-GAAP operating income was $</w:t>
      </w:r>
      <w:r w:rsidR="005B4566">
        <w:t>37.5</w:t>
      </w:r>
      <w:r>
        <w:t xml:space="preserve"> million compared with $</w:t>
      </w:r>
      <w:r w:rsidR="005B4566">
        <w:t>44.1</w:t>
      </w:r>
      <w:r>
        <w:t xml:space="preserve"> million</w:t>
      </w:r>
    </w:p>
    <w:p w14:paraId="6E3DD317" w14:textId="77777777" w:rsidR="00811A35" w:rsidRDefault="007134A2">
      <w:pPr>
        <w:pStyle w:val="Style1"/>
        <w:numPr>
          <w:ilvl w:val="0"/>
          <w:numId w:val="12"/>
        </w:numPr>
      </w:pPr>
      <w:r>
        <w:t>GAAP diluted earnings per share (“EPS”) was $</w:t>
      </w:r>
      <w:r w:rsidR="005B4566">
        <w:t>0.55</w:t>
      </w:r>
      <w:r>
        <w:t xml:space="preserve"> </w:t>
      </w:r>
      <w:r w:rsidR="005B4566">
        <w:t>compared with $0.68</w:t>
      </w:r>
    </w:p>
    <w:p w14:paraId="54D80ADF" w14:textId="77777777" w:rsidR="00D358AD" w:rsidRDefault="005B4566" w:rsidP="006F355B">
      <w:pPr>
        <w:pStyle w:val="Style1"/>
        <w:numPr>
          <w:ilvl w:val="1"/>
          <w:numId w:val="12"/>
        </w:numPr>
      </w:pPr>
      <w:r>
        <w:t>Non-GAAP diluted EPS was $0.67</w:t>
      </w:r>
      <w:r w:rsidR="007134A2">
        <w:t xml:space="preserve"> </w:t>
      </w:r>
      <w:r w:rsidR="00B44C1A">
        <w:t>compared w</w:t>
      </w:r>
      <w:r>
        <w:t>ith $0.78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
        <w:gridCol w:w="2087"/>
        <w:gridCol w:w="266"/>
        <w:gridCol w:w="1948"/>
        <w:gridCol w:w="488"/>
        <w:gridCol w:w="2082"/>
        <w:gridCol w:w="488"/>
        <w:gridCol w:w="1783"/>
      </w:tblGrid>
      <w:tr w:rsidR="00811A35" w14:paraId="7F1375B0" w14:textId="77777777" w:rsidTr="00455329">
        <w:trPr>
          <w:trHeight w:val="300"/>
        </w:trPr>
        <w:tc>
          <w:tcPr>
            <w:tcW w:w="9360" w:type="dxa"/>
            <w:gridSpan w:val="8"/>
            <w:noWrap/>
            <w:hideMark/>
          </w:tcPr>
          <w:p w14:paraId="7F25EE0A" w14:textId="77777777" w:rsidR="00455329" w:rsidRDefault="00455329" w:rsidP="006F355B">
            <w:pPr>
              <w:pStyle w:val="Style1"/>
              <w:rPr>
                <w:b/>
                <w:sz w:val="18"/>
                <w:szCs w:val="16"/>
              </w:rPr>
            </w:pPr>
          </w:p>
          <w:p w14:paraId="6D29FE73" w14:textId="77777777" w:rsidR="00811A35" w:rsidRDefault="005B4566">
            <w:pPr>
              <w:pStyle w:val="Style1"/>
              <w:jc w:val="center"/>
              <w:rPr>
                <w:b/>
                <w:sz w:val="18"/>
                <w:szCs w:val="16"/>
              </w:rPr>
            </w:pPr>
            <w:r>
              <w:rPr>
                <w:b/>
                <w:sz w:val="18"/>
                <w:szCs w:val="16"/>
              </w:rPr>
              <w:t>Q1</w:t>
            </w:r>
            <w:r w:rsidR="007134A2">
              <w:rPr>
                <w:b/>
                <w:sz w:val="18"/>
                <w:szCs w:val="16"/>
              </w:rPr>
              <w:t xml:space="preserve"> Fiscal Year </w:t>
            </w:r>
            <w:r>
              <w:rPr>
                <w:b/>
                <w:sz w:val="18"/>
                <w:szCs w:val="16"/>
              </w:rPr>
              <w:t>2016</w:t>
            </w:r>
            <w:r w:rsidR="007134A2">
              <w:rPr>
                <w:b/>
                <w:sz w:val="18"/>
                <w:szCs w:val="16"/>
              </w:rPr>
              <w:t xml:space="preserve"> GAAP Results</w:t>
            </w:r>
          </w:p>
        </w:tc>
      </w:tr>
      <w:tr w:rsidR="00811A35" w14:paraId="0EDF81AB" w14:textId="77777777" w:rsidTr="004F4490">
        <w:trPr>
          <w:trHeight w:val="300"/>
        </w:trPr>
        <w:tc>
          <w:tcPr>
            <w:tcW w:w="2305" w:type="dxa"/>
            <w:gridSpan w:val="2"/>
            <w:noWrap/>
            <w:hideMark/>
          </w:tcPr>
          <w:p w14:paraId="2896E124" w14:textId="77777777" w:rsidR="00811A35" w:rsidRDefault="00811A35">
            <w:pPr>
              <w:pStyle w:val="Style1"/>
              <w:rPr>
                <w:sz w:val="18"/>
                <w:szCs w:val="16"/>
              </w:rPr>
            </w:pPr>
          </w:p>
        </w:tc>
        <w:tc>
          <w:tcPr>
            <w:tcW w:w="266" w:type="dxa"/>
            <w:noWrap/>
            <w:hideMark/>
          </w:tcPr>
          <w:p w14:paraId="3F47F3D3" w14:textId="77777777" w:rsidR="00811A35" w:rsidRDefault="00811A35">
            <w:pPr>
              <w:pStyle w:val="Style1"/>
              <w:rPr>
                <w:sz w:val="18"/>
                <w:szCs w:val="16"/>
              </w:rPr>
            </w:pPr>
          </w:p>
        </w:tc>
        <w:tc>
          <w:tcPr>
            <w:tcW w:w="1948" w:type="dxa"/>
            <w:noWrap/>
            <w:hideMark/>
          </w:tcPr>
          <w:p w14:paraId="4661C603" w14:textId="77777777" w:rsidR="00811A35" w:rsidRDefault="00811A35">
            <w:pPr>
              <w:pStyle w:val="Style1"/>
              <w:rPr>
                <w:sz w:val="18"/>
                <w:szCs w:val="16"/>
              </w:rPr>
            </w:pPr>
          </w:p>
        </w:tc>
        <w:tc>
          <w:tcPr>
            <w:tcW w:w="488" w:type="dxa"/>
            <w:noWrap/>
            <w:hideMark/>
          </w:tcPr>
          <w:p w14:paraId="2FF62B32" w14:textId="77777777" w:rsidR="00811A35" w:rsidRDefault="00811A35">
            <w:pPr>
              <w:pStyle w:val="Style1"/>
              <w:rPr>
                <w:sz w:val="18"/>
                <w:szCs w:val="16"/>
              </w:rPr>
            </w:pPr>
          </w:p>
        </w:tc>
        <w:tc>
          <w:tcPr>
            <w:tcW w:w="2082" w:type="dxa"/>
            <w:noWrap/>
            <w:hideMark/>
          </w:tcPr>
          <w:p w14:paraId="11E3E94B" w14:textId="77777777" w:rsidR="00811A35" w:rsidRDefault="00811A35">
            <w:pPr>
              <w:pStyle w:val="Style1"/>
              <w:rPr>
                <w:sz w:val="18"/>
                <w:szCs w:val="16"/>
              </w:rPr>
            </w:pPr>
          </w:p>
        </w:tc>
        <w:tc>
          <w:tcPr>
            <w:tcW w:w="488" w:type="dxa"/>
            <w:noWrap/>
            <w:hideMark/>
          </w:tcPr>
          <w:p w14:paraId="6F79AAB3" w14:textId="77777777" w:rsidR="00811A35" w:rsidRDefault="00811A35">
            <w:pPr>
              <w:pStyle w:val="Style1"/>
              <w:rPr>
                <w:sz w:val="18"/>
                <w:szCs w:val="16"/>
              </w:rPr>
            </w:pPr>
          </w:p>
        </w:tc>
        <w:tc>
          <w:tcPr>
            <w:tcW w:w="1783" w:type="dxa"/>
            <w:noWrap/>
            <w:hideMark/>
          </w:tcPr>
          <w:p w14:paraId="299687AB" w14:textId="77777777" w:rsidR="00811A35" w:rsidRDefault="00811A35">
            <w:pPr>
              <w:pStyle w:val="Style1"/>
              <w:rPr>
                <w:sz w:val="18"/>
                <w:szCs w:val="16"/>
              </w:rPr>
            </w:pPr>
          </w:p>
        </w:tc>
      </w:tr>
      <w:tr w:rsidR="00811A35" w14:paraId="345B7408" w14:textId="77777777" w:rsidTr="004F4490">
        <w:trPr>
          <w:trHeight w:val="300"/>
        </w:trPr>
        <w:tc>
          <w:tcPr>
            <w:tcW w:w="2305" w:type="dxa"/>
            <w:gridSpan w:val="2"/>
            <w:noWrap/>
            <w:hideMark/>
          </w:tcPr>
          <w:p w14:paraId="2F7E28BB" w14:textId="77777777" w:rsidR="00811A35" w:rsidRDefault="00811A35">
            <w:pPr>
              <w:pStyle w:val="Style1"/>
              <w:rPr>
                <w:sz w:val="18"/>
                <w:szCs w:val="16"/>
              </w:rPr>
            </w:pPr>
          </w:p>
        </w:tc>
        <w:tc>
          <w:tcPr>
            <w:tcW w:w="266" w:type="dxa"/>
            <w:noWrap/>
            <w:hideMark/>
          </w:tcPr>
          <w:p w14:paraId="15ED5CD6" w14:textId="77777777" w:rsidR="00811A35" w:rsidRDefault="00811A35">
            <w:pPr>
              <w:pStyle w:val="Style1"/>
              <w:rPr>
                <w:sz w:val="18"/>
                <w:szCs w:val="16"/>
              </w:rPr>
            </w:pPr>
          </w:p>
        </w:tc>
        <w:tc>
          <w:tcPr>
            <w:tcW w:w="1948" w:type="dxa"/>
            <w:noWrap/>
            <w:hideMark/>
          </w:tcPr>
          <w:p w14:paraId="4E0F3B7C" w14:textId="77777777" w:rsidR="00811A35" w:rsidRDefault="005B4566" w:rsidP="000C3828">
            <w:pPr>
              <w:pStyle w:val="Style1"/>
              <w:jc w:val="right"/>
              <w:rPr>
                <w:b/>
                <w:bCs/>
                <w:sz w:val="18"/>
                <w:szCs w:val="16"/>
                <w:u w:val="single"/>
              </w:rPr>
            </w:pPr>
            <w:r>
              <w:rPr>
                <w:b/>
                <w:bCs/>
                <w:sz w:val="18"/>
                <w:szCs w:val="16"/>
                <w:u w:val="single"/>
              </w:rPr>
              <w:t>Q1</w:t>
            </w:r>
            <w:r w:rsidR="007134A2">
              <w:rPr>
                <w:b/>
                <w:bCs/>
                <w:sz w:val="18"/>
                <w:szCs w:val="16"/>
                <w:u w:val="single"/>
              </w:rPr>
              <w:t xml:space="preserve"> </w:t>
            </w:r>
            <w:r w:rsidR="000C3828">
              <w:rPr>
                <w:b/>
                <w:bCs/>
                <w:sz w:val="18"/>
                <w:szCs w:val="16"/>
                <w:u w:val="single"/>
              </w:rPr>
              <w:t>201</w:t>
            </w:r>
            <w:r>
              <w:rPr>
                <w:b/>
                <w:bCs/>
                <w:sz w:val="18"/>
                <w:szCs w:val="16"/>
                <w:u w:val="single"/>
              </w:rPr>
              <w:t>6</w:t>
            </w:r>
          </w:p>
        </w:tc>
        <w:tc>
          <w:tcPr>
            <w:tcW w:w="488" w:type="dxa"/>
            <w:noWrap/>
            <w:hideMark/>
          </w:tcPr>
          <w:p w14:paraId="3969D14C" w14:textId="77777777" w:rsidR="00811A35" w:rsidRDefault="00811A35">
            <w:pPr>
              <w:pStyle w:val="Style1"/>
              <w:rPr>
                <w:b/>
                <w:bCs/>
                <w:sz w:val="18"/>
                <w:szCs w:val="16"/>
                <w:u w:val="single"/>
              </w:rPr>
            </w:pPr>
          </w:p>
        </w:tc>
        <w:tc>
          <w:tcPr>
            <w:tcW w:w="2082" w:type="dxa"/>
            <w:noWrap/>
            <w:hideMark/>
          </w:tcPr>
          <w:p w14:paraId="2B8F34DD" w14:textId="77777777" w:rsidR="00811A35" w:rsidRDefault="005B4566" w:rsidP="000C3828">
            <w:pPr>
              <w:pStyle w:val="Style1"/>
              <w:jc w:val="right"/>
              <w:rPr>
                <w:b/>
                <w:bCs/>
                <w:sz w:val="18"/>
                <w:szCs w:val="16"/>
                <w:u w:val="single"/>
              </w:rPr>
            </w:pPr>
            <w:r>
              <w:rPr>
                <w:b/>
                <w:bCs/>
                <w:sz w:val="18"/>
                <w:szCs w:val="16"/>
                <w:u w:val="single"/>
              </w:rPr>
              <w:t>Q1</w:t>
            </w:r>
            <w:r w:rsidR="007134A2">
              <w:rPr>
                <w:b/>
                <w:bCs/>
                <w:sz w:val="18"/>
                <w:szCs w:val="16"/>
                <w:u w:val="single"/>
              </w:rPr>
              <w:t xml:space="preserve"> </w:t>
            </w:r>
            <w:r w:rsidR="000C3828">
              <w:rPr>
                <w:b/>
                <w:bCs/>
                <w:sz w:val="18"/>
                <w:szCs w:val="16"/>
                <w:u w:val="single"/>
              </w:rPr>
              <w:t>201</w:t>
            </w:r>
            <w:r>
              <w:rPr>
                <w:b/>
                <w:bCs/>
                <w:sz w:val="18"/>
                <w:szCs w:val="16"/>
                <w:u w:val="single"/>
              </w:rPr>
              <w:t>5</w:t>
            </w:r>
          </w:p>
        </w:tc>
        <w:tc>
          <w:tcPr>
            <w:tcW w:w="488" w:type="dxa"/>
            <w:noWrap/>
            <w:hideMark/>
          </w:tcPr>
          <w:p w14:paraId="2FEBDD79" w14:textId="77777777" w:rsidR="00811A35" w:rsidRDefault="00811A35">
            <w:pPr>
              <w:pStyle w:val="Style1"/>
              <w:rPr>
                <w:b/>
                <w:bCs/>
                <w:sz w:val="18"/>
                <w:szCs w:val="16"/>
                <w:u w:val="single"/>
              </w:rPr>
            </w:pPr>
          </w:p>
        </w:tc>
        <w:tc>
          <w:tcPr>
            <w:tcW w:w="1783" w:type="dxa"/>
            <w:noWrap/>
            <w:hideMark/>
          </w:tcPr>
          <w:p w14:paraId="069C46F9" w14:textId="77777777" w:rsidR="00811A35" w:rsidRDefault="007134A2">
            <w:pPr>
              <w:pStyle w:val="Style1"/>
              <w:jc w:val="right"/>
              <w:rPr>
                <w:b/>
                <w:bCs/>
                <w:sz w:val="18"/>
                <w:szCs w:val="16"/>
                <w:u w:val="single"/>
              </w:rPr>
            </w:pPr>
            <w:r>
              <w:rPr>
                <w:b/>
                <w:bCs/>
                <w:sz w:val="18"/>
                <w:szCs w:val="16"/>
                <w:u w:val="single"/>
              </w:rPr>
              <w:t>Change (%)</w:t>
            </w:r>
          </w:p>
        </w:tc>
      </w:tr>
      <w:tr w:rsidR="00811A35" w14:paraId="51D03C5C" w14:textId="77777777" w:rsidTr="004F4490">
        <w:trPr>
          <w:trHeight w:val="300"/>
        </w:trPr>
        <w:tc>
          <w:tcPr>
            <w:tcW w:w="2571" w:type="dxa"/>
            <w:gridSpan w:val="3"/>
            <w:noWrap/>
            <w:hideMark/>
          </w:tcPr>
          <w:p w14:paraId="337F2BE0" w14:textId="77777777" w:rsidR="00811A35" w:rsidRDefault="007134A2">
            <w:pPr>
              <w:pStyle w:val="Style1"/>
              <w:rPr>
                <w:sz w:val="18"/>
                <w:szCs w:val="16"/>
              </w:rPr>
            </w:pPr>
            <w:r>
              <w:rPr>
                <w:sz w:val="18"/>
                <w:szCs w:val="16"/>
              </w:rPr>
              <w:t>Net revenues</w:t>
            </w:r>
          </w:p>
        </w:tc>
        <w:tc>
          <w:tcPr>
            <w:tcW w:w="1948" w:type="dxa"/>
            <w:noWrap/>
            <w:hideMark/>
          </w:tcPr>
          <w:p w14:paraId="30C30977" w14:textId="77777777" w:rsidR="00811A35" w:rsidRDefault="007134A2" w:rsidP="005B4566">
            <w:pPr>
              <w:pStyle w:val="Style1"/>
              <w:jc w:val="right"/>
              <w:rPr>
                <w:sz w:val="18"/>
                <w:szCs w:val="16"/>
              </w:rPr>
            </w:pPr>
            <w:r>
              <w:rPr>
                <w:sz w:val="18"/>
                <w:szCs w:val="16"/>
              </w:rPr>
              <w:t>$</w:t>
            </w:r>
            <w:r w:rsidR="005B4566">
              <w:rPr>
                <w:sz w:val="18"/>
                <w:szCs w:val="16"/>
              </w:rPr>
              <w:t>206.4</w:t>
            </w:r>
            <w:r>
              <w:rPr>
                <w:sz w:val="18"/>
                <w:szCs w:val="16"/>
              </w:rPr>
              <w:t xml:space="preserve"> million</w:t>
            </w:r>
          </w:p>
        </w:tc>
        <w:tc>
          <w:tcPr>
            <w:tcW w:w="488" w:type="dxa"/>
            <w:noWrap/>
            <w:hideMark/>
          </w:tcPr>
          <w:p w14:paraId="454EF2F2" w14:textId="77777777" w:rsidR="00811A35" w:rsidRDefault="00811A35">
            <w:pPr>
              <w:pStyle w:val="Style1"/>
              <w:rPr>
                <w:sz w:val="18"/>
                <w:szCs w:val="16"/>
              </w:rPr>
            </w:pPr>
          </w:p>
        </w:tc>
        <w:tc>
          <w:tcPr>
            <w:tcW w:w="2082" w:type="dxa"/>
            <w:noWrap/>
            <w:hideMark/>
          </w:tcPr>
          <w:p w14:paraId="00CB0A28" w14:textId="77777777" w:rsidR="00811A35" w:rsidRDefault="007134A2" w:rsidP="000C3828">
            <w:pPr>
              <w:pStyle w:val="Style1"/>
              <w:jc w:val="right"/>
              <w:rPr>
                <w:sz w:val="18"/>
                <w:szCs w:val="16"/>
              </w:rPr>
            </w:pPr>
            <w:r>
              <w:rPr>
                <w:sz w:val="18"/>
                <w:szCs w:val="16"/>
              </w:rPr>
              <w:t>$</w:t>
            </w:r>
            <w:r w:rsidR="005B4566">
              <w:rPr>
                <w:sz w:val="18"/>
                <w:szCs w:val="16"/>
              </w:rPr>
              <w:t>216.</w:t>
            </w:r>
            <w:r w:rsidR="00532E36">
              <w:rPr>
                <w:sz w:val="18"/>
                <w:szCs w:val="16"/>
              </w:rPr>
              <w:t>7</w:t>
            </w:r>
            <w:r>
              <w:rPr>
                <w:sz w:val="18"/>
                <w:szCs w:val="16"/>
              </w:rPr>
              <w:t xml:space="preserve"> million</w:t>
            </w:r>
          </w:p>
        </w:tc>
        <w:tc>
          <w:tcPr>
            <w:tcW w:w="488" w:type="dxa"/>
            <w:noWrap/>
            <w:hideMark/>
          </w:tcPr>
          <w:p w14:paraId="085144A7" w14:textId="77777777" w:rsidR="00811A35" w:rsidRDefault="00811A35">
            <w:pPr>
              <w:pStyle w:val="Style1"/>
              <w:rPr>
                <w:sz w:val="18"/>
                <w:szCs w:val="16"/>
              </w:rPr>
            </w:pPr>
          </w:p>
        </w:tc>
        <w:tc>
          <w:tcPr>
            <w:tcW w:w="1783" w:type="dxa"/>
            <w:noWrap/>
            <w:hideMark/>
          </w:tcPr>
          <w:p w14:paraId="30C35CEA" w14:textId="77777777" w:rsidR="00811A35" w:rsidRDefault="005B4566">
            <w:pPr>
              <w:pStyle w:val="Style1"/>
              <w:jc w:val="right"/>
              <w:rPr>
                <w:i/>
                <w:sz w:val="18"/>
                <w:szCs w:val="16"/>
              </w:rPr>
            </w:pPr>
            <w:r>
              <w:rPr>
                <w:i/>
                <w:sz w:val="18"/>
                <w:szCs w:val="16"/>
              </w:rPr>
              <w:t>(4.8</w:t>
            </w:r>
            <w:r w:rsidR="000C3828">
              <w:rPr>
                <w:i/>
                <w:sz w:val="18"/>
                <w:szCs w:val="16"/>
              </w:rPr>
              <w:t>)%</w:t>
            </w:r>
          </w:p>
        </w:tc>
      </w:tr>
      <w:tr w:rsidR="00811A35" w14:paraId="4664FD37" w14:textId="77777777" w:rsidTr="004F4490">
        <w:trPr>
          <w:trHeight w:val="300"/>
        </w:trPr>
        <w:tc>
          <w:tcPr>
            <w:tcW w:w="2571" w:type="dxa"/>
            <w:gridSpan w:val="3"/>
            <w:noWrap/>
            <w:hideMark/>
          </w:tcPr>
          <w:p w14:paraId="3CA87239" w14:textId="77777777" w:rsidR="00811A35" w:rsidRDefault="007134A2">
            <w:pPr>
              <w:pStyle w:val="Style1"/>
              <w:rPr>
                <w:sz w:val="18"/>
                <w:szCs w:val="16"/>
              </w:rPr>
            </w:pPr>
            <w:r>
              <w:rPr>
                <w:sz w:val="18"/>
                <w:szCs w:val="16"/>
              </w:rPr>
              <w:t>Operating income</w:t>
            </w:r>
          </w:p>
        </w:tc>
        <w:tc>
          <w:tcPr>
            <w:tcW w:w="1948" w:type="dxa"/>
            <w:noWrap/>
            <w:hideMark/>
          </w:tcPr>
          <w:p w14:paraId="2532B9F1" w14:textId="77777777" w:rsidR="00811A35" w:rsidRDefault="007134A2" w:rsidP="005B4566">
            <w:pPr>
              <w:pStyle w:val="Style1"/>
              <w:jc w:val="right"/>
              <w:rPr>
                <w:sz w:val="18"/>
                <w:szCs w:val="16"/>
              </w:rPr>
            </w:pPr>
            <w:r>
              <w:rPr>
                <w:sz w:val="18"/>
                <w:szCs w:val="16"/>
              </w:rPr>
              <w:t>$</w:t>
            </w:r>
            <w:r w:rsidR="005B4566">
              <w:rPr>
                <w:sz w:val="18"/>
                <w:szCs w:val="16"/>
              </w:rPr>
              <w:t>29.4</w:t>
            </w:r>
            <w:r>
              <w:rPr>
                <w:sz w:val="18"/>
                <w:szCs w:val="16"/>
              </w:rPr>
              <w:t xml:space="preserve"> million</w:t>
            </w:r>
          </w:p>
        </w:tc>
        <w:tc>
          <w:tcPr>
            <w:tcW w:w="488" w:type="dxa"/>
            <w:noWrap/>
            <w:hideMark/>
          </w:tcPr>
          <w:p w14:paraId="26142619" w14:textId="77777777" w:rsidR="00811A35" w:rsidRDefault="00811A35">
            <w:pPr>
              <w:pStyle w:val="Style1"/>
              <w:rPr>
                <w:sz w:val="18"/>
                <w:szCs w:val="16"/>
              </w:rPr>
            </w:pPr>
          </w:p>
        </w:tc>
        <w:tc>
          <w:tcPr>
            <w:tcW w:w="2082" w:type="dxa"/>
            <w:noWrap/>
            <w:hideMark/>
          </w:tcPr>
          <w:p w14:paraId="6E0654DC" w14:textId="77777777" w:rsidR="00811A35" w:rsidRDefault="007134A2" w:rsidP="000C3828">
            <w:pPr>
              <w:pStyle w:val="Style1"/>
              <w:jc w:val="right"/>
              <w:rPr>
                <w:sz w:val="18"/>
                <w:szCs w:val="16"/>
              </w:rPr>
            </w:pPr>
            <w:r>
              <w:rPr>
                <w:sz w:val="18"/>
                <w:szCs w:val="16"/>
              </w:rPr>
              <w:t>$</w:t>
            </w:r>
            <w:r w:rsidR="005B4566">
              <w:rPr>
                <w:sz w:val="18"/>
                <w:szCs w:val="16"/>
              </w:rPr>
              <w:t>37.8</w:t>
            </w:r>
            <w:r>
              <w:rPr>
                <w:sz w:val="18"/>
                <w:szCs w:val="16"/>
              </w:rPr>
              <w:t xml:space="preserve"> million</w:t>
            </w:r>
          </w:p>
        </w:tc>
        <w:tc>
          <w:tcPr>
            <w:tcW w:w="488" w:type="dxa"/>
            <w:noWrap/>
            <w:hideMark/>
          </w:tcPr>
          <w:p w14:paraId="03F27C94" w14:textId="77777777" w:rsidR="00811A35" w:rsidRDefault="00811A35">
            <w:pPr>
              <w:pStyle w:val="Style1"/>
              <w:rPr>
                <w:sz w:val="18"/>
                <w:szCs w:val="16"/>
              </w:rPr>
            </w:pPr>
          </w:p>
        </w:tc>
        <w:tc>
          <w:tcPr>
            <w:tcW w:w="1783" w:type="dxa"/>
            <w:noWrap/>
            <w:hideMark/>
          </w:tcPr>
          <w:p w14:paraId="08A1E899" w14:textId="77777777" w:rsidR="00811A35" w:rsidRDefault="005B4566" w:rsidP="000C3828">
            <w:pPr>
              <w:pStyle w:val="Style1"/>
              <w:jc w:val="right"/>
              <w:rPr>
                <w:i/>
                <w:sz w:val="18"/>
                <w:szCs w:val="16"/>
              </w:rPr>
            </w:pPr>
            <w:r>
              <w:rPr>
                <w:i/>
                <w:sz w:val="18"/>
                <w:szCs w:val="16"/>
              </w:rPr>
              <w:t>(22.2</w:t>
            </w:r>
            <w:r w:rsidR="000C3828">
              <w:rPr>
                <w:i/>
                <w:sz w:val="18"/>
                <w:szCs w:val="16"/>
              </w:rPr>
              <w:t>)%</w:t>
            </w:r>
          </w:p>
        </w:tc>
      </w:tr>
      <w:tr w:rsidR="00811A35" w14:paraId="121BA11B" w14:textId="77777777" w:rsidTr="004F4490">
        <w:trPr>
          <w:trHeight w:val="300"/>
        </w:trPr>
        <w:tc>
          <w:tcPr>
            <w:tcW w:w="2571" w:type="dxa"/>
            <w:gridSpan w:val="3"/>
            <w:noWrap/>
          </w:tcPr>
          <w:p w14:paraId="2B52F356" w14:textId="77777777" w:rsidR="00811A35" w:rsidRDefault="007134A2">
            <w:pPr>
              <w:pStyle w:val="Style1"/>
              <w:rPr>
                <w:i/>
                <w:sz w:val="18"/>
                <w:szCs w:val="16"/>
              </w:rPr>
            </w:pPr>
            <w:r>
              <w:rPr>
                <w:i/>
                <w:sz w:val="18"/>
                <w:szCs w:val="16"/>
              </w:rPr>
              <w:t xml:space="preserve">  Operating Margin</w:t>
            </w:r>
          </w:p>
        </w:tc>
        <w:tc>
          <w:tcPr>
            <w:tcW w:w="1948" w:type="dxa"/>
            <w:noWrap/>
          </w:tcPr>
          <w:p w14:paraId="284DE13E" w14:textId="77777777" w:rsidR="00811A35" w:rsidRDefault="005B4566">
            <w:pPr>
              <w:pStyle w:val="Style1"/>
              <w:jc w:val="right"/>
              <w:rPr>
                <w:i/>
                <w:sz w:val="18"/>
                <w:szCs w:val="16"/>
              </w:rPr>
            </w:pPr>
            <w:r>
              <w:rPr>
                <w:i/>
                <w:sz w:val="18"/>
                <w:szCs w:val="16"/>
              </w:rPr>
              <w:t>14.2</w:t>
            </w:r>
            <w:r w:rsidR="007134A2">
              <w:rPr>
                <w:i/>
                <w:sz w:val="18"/>
                <w:szCs w:val="16"/>
              </w:rPr>
              <w:t>%</w:t>
            </w:r>
          </w:p>
        </w:tc>
        <w:tc>
          <w:tcPr>
            <w:tcW w:w="488" w:type="dxa"/>
            <w:noWrap/>
          </w:tcPr>
          <w:p w14:paraId="4EC6C770" w14:textId="77777777" w:rsidR="00811A35" w:rsidRDefault="00811A35">
            <w:pPr>
              <w:pStyle w:val="Style1"/>
              <w:rPr>
                <w:i/>
                <w:sz w:val="18"/>
                <w:szCs w:val="16"/>
              </w:rPr>
            </w:pPr>
          </w:p>
        </w:tc>
        <w:tc>
          <w:tcPr>
            <w:tcW w:w="2082" w:type="dxa"/>
            <w:noWrap/>
          </w:tcPr>
          <w:p w14:paraId="3ADDEB34" w14:textId="77777777" w:rsidR="00811A35" w:rsidRDefault="005B4566">
            <w:pPr>
              <w:pStyle w:val="Style1"/>
              <w:jc w:val="right"/>
              <w:rPr>
                <w:i/>
                <w:sz w:val="18"/>
                <w:szCs w:val="16"/>
              </w:rPr>
            </w:pPr>
            <w:r>
              <w:rPr>
                <w:i/>
                <w:sz w:val="18"/>
                <w:szCs w:val="16"/>
              </w:rPr>
              <w:t>17.4</w:t>
            </w:r>
            <w:r w:rsidR="007134A2">
              <w:rPr>
                <w:i/>
                <w:sz w:val="18"/>
                <w:szCs w:val="16"/>
              </w:rPr>
              <w:t>%</w:t>
            </w:r>
          </w:p>
        </w:tc>
        <w:tc>
          <w:tcPr>
            <w:tcW w:w="488" w:type="dxa"/>
            <w:noWrap/>
          </w:tcPr>
          <w:p w14:paraId="6E9509B9" w14:textId="77777777" w:rsidR="00811A35" w:rsidRDefault="00811A35">
            <w:pPr>
              <w:pStyle w:val="Style1"/>
              <w:rPr>
                <w:sz w:val="18"/>
                <w:szCs w:val="16"/>
              </w:rPr>
            </w:pPr>
          </w:p>
        </w:tc>
        <w:tc>
          <w:tcPr>
            <w:tcW w:w="1783" w:type="dxa"/>
            <w:noWrap/>
          </w:tcPr>
          <w:p w14:paraId="66A2E442" w14:textId="77777777" w:rsidR="00811A35" w:rsidRDefault="00811A35">
            <w:pPr>
              <w:pStyle w:val="Style1"/>
              <w:jc w:val="right"/>
              <w:rPr>
                <w:i/>
                <w:sz w:val="18"/>
                <w:szCs w:val="16"/>
              </w:rPr>
            </w:pPr>
          </w:p>
        </w:tc>
      </w:tr>
      <w:tr w:rsidR="00811A35" w14:paraId="0A3085DF" w14:textId="77777777" w:rsidTr="004F4490">
        <w:trPr>
          <w:trHeight w:val="300"/>
        </w:trPr>
        <w:tc>
          <w:tcPr>
            <w:tcW w:w="2571" w:type="dxa"/>
            <w:gridSpan w:val="3"/>
            <w:noWrap/>
            <w:hideMark/>
          </w:tcPr>
          <w:p w14:paraId="49003637" w14:textId="77777777" w:rsidR="00811A35" w:rsidRDefault="007134A2">
            <w:pPr>
              <w:pStyle w:val="Style1"/>
              <w:rPr>
                <w:sz w:val="18"/>
                <w:szCs w:val="16"/>
              </w:rPr>
            </w:pPr>
            <w:r>
              <w:rPr>
                <w:sz w:val="18"/>
                <w:szCs w:val="16"/>
              </w:rPr>
              <w:t>Diluted EPS</w:t>
            </w:r>
          </w:p>
        </w:tc>
        <w:tc>
          <w:tcPr>
            <w:tcW w:w="1948" w:type="dxa"/>
            <w:noWrap/>
            <w:hideMark/>
          </w:tcPr>
          <w:p w14:paraId="282CB8AB" w14:textId="77777777" w:rsidR="00811A35" w:rsidRDefault="007134A2" w:rsidP="000C3828">
            <w:pPr>
              <w:pStyle w:val="Style1"/>
              <w:jc w:val="right"/>
              <w:rPr>
                <w:sz w:val="18"/>
                <w:szCs w:val="16"/>
              </w:rPr>
            </w:pPr>
            <w:r>
              <w:rPr>
                <w:sz w:val="18"/>
                <w:szCs w:val="16"/>
              </w:rPr>
              <w:t>$</w:t>
            </w:r>
            <w:r w:rsidR="005B4566">
              <w:rPr>
                <w:sz w:val="18"/>
                <w:szCs w:val="16"/>
              </w:rPr>
              <w:t>0.55</w:t>
            </w:r>
            <w:r>
              <w:rPr>
                <w:sz w:val="18"/>
                <w:szCs w:val="16"/>
              </w:rPr>
              <w:t xml:space="preserve"> </w:t>
            </w:r>
          </w:p>
        </w:tc>
        <w:tc>
          <w:tcPr>
            <w:tcW w:w="488" w:type="dxa"/>
            <w:noWrap/>
            <w:hideMark/>
          </w:tcPr>
          <w:p w14:paraId="56B5460C" w14:textId="77777777" w:rsidR="00811A35" w:rsidRDefault="00811A35">
            <w:pPr>
              <w:pStyle w:val="Style1"/>
              <w:rPr>
                <w:sz w:val="18"/>
                <w:szCs w:val="16"/>
              </w:rPr>
            </w:pPr>
          </w:p>
        </w:tc>
        <w:tc>
          <w:tcPr>
            <w:tcW w:w="2082" w:type="dxa"/>
            <w:noWrap/>
            <w:hideMark/>
          </w:tcPr>
          <w:p w14:paraId="034D109B" w14:textId="77777777" w:rsidR="00811A35" w:rsidRDefault="007134A2" w:rsidP="000C3828">
            <w:pPr>
              <w:pStyle w:val="Style1"/>
              <w:jc w:val="right"/>
              <w:rPr>
                <w:sz w:val="18"/>
                <w:szCs w:val="16"/>
              </w:rPr>
            </w:pPr>
            <w:r>
              <w:rPr>
                <w:sz w:val="18"/>
                <w:szCs w:val="16"/>
              </w:rPr>
              <w:t>$</w:t>
            </w:r>
            <w:r w:rsidR="005B4566">
              <w:rPr>
                <w:sz w:val="18"/>
                <w:szCs w:val="16"/>
              </w:rPr>
              <w:t>0.68</w:t>
            </w:r>
            <w:r>
              <w:rPr>
                <w:sz w:val="18"/>
                <w:szCs w:val="16"/>
              </w:rPr>
              <w:t xml:space="preserve"> </w:t>
            </w:r>
          </w:p>
        </w:tc>
        <w:tc>
          <w:tcPr>
            <w:tcW w:w="488" w:type="dxa"/>
            <w:noWrap/>
            <w:hideMark/>
          </w:tcPr>
          <w:p w14:paraId="3E82C068" w14:textId="77777777" w:rsidR="00811A35" w:rsidRDefault="00811A35">
            <w:pPr>
              <w:pStyle w:val="Style1"/>
              <w:rPr>
                <w:sz w:val="18"/>
                <w:szCs w:val="16"/>
              </w:rPr>
            </w:pPr>
          </w:p>
        </w:tc>
        <w:tc>
          <w:tcPr>
            <w:tcW w:w="1783" w:type="dxa"/>
            <w:noWrap/>
            <w:hideMark/>
          </w:tcPr>
          <w:p w14:paraId="391C352B" w14:textId="77777777" w:rsidR="00811A35" w:rsidRDefault="005B4566">
            <w:pPr>
              <w:pStyle w:val="Style1"/>
              <w:jc w:val="right"/>
              <w:rPr>
                <w:i/>
                <w:sz w:val="18"/>
                <w:szCs w:val="16"/>
              </w:rPr>
            </w:pPr>
            <w:r>
              <w:rPr>
                <w:i/>
                <w:sz w:val="18"/>
                <w:szCs w:val="16"/>
              </w:rPr>
              <w:t>(19.1</w:t>
            </w:r>
            <w:r w:rsidR="000C3828">
              <w:rPr>
                <w:i/>
                <w:sz w:val="18"/>
                <w:szCs w:val="16"/>
              </w:rPr>
              <w:t>)%</w:t>
            </w:r>
          </w:p>
        </w:tc>
      </w:tr>
      <w:tr w:rsidR="00811A35" w14:paraId="7F1009B3" w14:textId="77777777" w:rsidTr="004F4490">
        <w:trPr>
          <w:trHeight w:val="300"/>
        </w:trPr>
        <w:tc>
          <w:tcPr>
            <w:tcW w:w="2305" w:type="dxa"/>
            <w:gridSpan w:val="2"/>
            <w:noWrap/>
            <w:hideMark/>
          </w:tcPr>
          <w:p w14:paraId="028C67EC" w14:textId="77777777" w:rsidR="00811A35" w:rsidRDefault="00811A35">
            <w:pPr>
              <w:pStyle w:val="Style1"/>
              <w:rPr>
                <w:sz w:val="18"/>
                <w:szCs w:val="16"/>
              </w:rPr>
            </w:pPr>
          </w:p>
        </w:tc>
        <w:tc>
          <w:tcPr>
            <w:tcW w:w="266" w:type="dxa"/>
            <w:noWrap/>
            <w:hideMark/>
          </w:tcPr>
          <w:p w14:paraId="5F7B8D24" w14:textId="77777777" w:rsidR="00811A35" w:rsidRDefault="00811A35">
            <w:pPr>
              <w:pStyle w:val="Style1"/>
              <w:rPr>
                <w:sz w:val="18"/>
                <w:szCs w:val="16"/>
              </w:rPr>
            </w:pPr>
          </w:p>
        </w:tc>
        <w:tc>
          <w:tcPr>
            <w:tcW w:w="1948" w:type="dxa"/>
            <w:noWrap/>
            <w:hideMark/>
          </w:tcPr>
          <w:p w14:paraId="21E29811" w14:textId="77777777" w:rsidR="00811A35" w:rsidRDefault="00811A35">
            <w:pPr>
              <w:pStyle w:val="Style1"/>
              <w:rPr>
                <w:sz w:val="18"/>
                <w:szCs w:val="16"/>
              </w:rPr>
            </w:pPr>
          </w:p>
        </w:tc>
        <w:tc>
          <w:tcPr>
            <w:tcW w:w="488" w:type="dxa"/>
            <w:noWrap/>
            <w:hideMark/>
          </w:tcPr>
          <w:p w14:paraId="0CF08392" w14:textId="77777777" w:rsidR="00811A35" w:rsidRDefault="00811A35">
            <w:pPr>
              <w:pStyle w:val="Style1"/>
              <w:rPr>
                <w:sz w:val="18"/>
                <w:szCs w:val="16"/>
              </w:rPr>
            </w:pPr>
          </w:p>
        </w:tc>
        <w:tc>
          <w:tcPr>
            <w:tcW w:w="2082" w:type="dxa"/>
            <w:noWrap/>
            <w:hideMark/>
          </w:tcPr>
          <w:p w14:paraId="01F41EC8" w14:textId="77777777" w:rsidR="00811A35" w:rsidRDefault="00811A35">
            <w:pPr>
              <w:pStyle w:val="Style1"/>
              <w:rPr>
                <w:sz w:val="18"/>
                <w:szCs w:val="16"/>
              </w:rPr>
            </w:pPr>
          </w:p>
        </w:tc>
        <w:tc>
          <w:tcPr>
            <w:tcW w:w="488" w:type="dxa"/>
            <w:noWrap/>
            <w:hideMark/>
          </w:tcPr>
          <w:p w14:paraId="0D4D8E9D" w14:textId="77777777" w:rsidR="00811A35" w:rsidRDefault="00811A35">
            <w:pPr>
              <w:pStyle w:val="Style1"/>
              <w:rPr>
                <w:sz w:val="18"/>
                <w:szCs w:val="16"/>
              </w:rPr>
            </w:pPr>
          </w:p>
        </w:tc>
        <w:tc>
          <w:tcPr>
            <w:tcW w:w="1783" w:type="dxa"/>
            <w:noWrap/>
            <w:hideMark/>
          </w:tcPr>
          <w:p w14:paraId="7364DA1A" w14:textId="77777777" w:rsidR="00811A35" w:rsidRDefault="00811A35">
            <w:pPr>
              <w:pStyle w:val="Style1"/>
              <w:rPr>
                <w:sz w:val="18"/>
                <w:szCs w:val="16"/>
              </w:rPr>
            </w:pPr>
          </w:p>
        </w:tc>
      </w:tr>
      <w:tr w:rsidR="00811A35" w14:paraId="30D6BB4E" w14:textId="77777777" w:rsidTr="00455329">
        <w:trPr>
          <w:trHeight w:val="300"/>
        </w:trPr>
        <w:tc>
          <w:tcPr>
            <w:tcW w:w="9360" w:type="dxa"/>
            <w:gridSpan w:val="8"/>
            <w:noWrap/>
            <w:hideMark/>
          </w:tcPr>
          <w:p w14:paraId="25510919" w14:textId="77777777" w:rsidR="00811A35" w:rsidRDefault="005B4566" w:rsidP="000C3828">
            <w:pPr>
              <w:pStyle w:val="Style1"/>
              <w:jc w:val="center"/>
              <w:rPr>
                <w:b/>
                <w:sz w:val="18"/>
                <w:szCs w:val="16"/>
              </w:rPr>
            </w:pPr>
            <w:r>
              <w:rPr>
                <w:b/>
                <w:sz w:val="18"/>
                <w:szCs w:val="16"/>
              </w:rPr>
              <w:t>Q1</w:t>
            </w:r>
            <w:r w:rsidR="007134A2">
              <w:rPr>
                <w:b/>
                <w:sz w:val="18"/>
                <w:szCs w:val="16"/>
              </w:rPr>
              <w:t xml:space="preserve"> Fiscal Year </w:t>
            </w:r>
            <w:r>
              <w:rPr>
                <w:b/>
                <w:sz w:val="18"/>
                <w:szCs w:val="16"/>
              </w:rPr>
              <w:t>2016</w:t>
            </w:r>
            <w:r w:rsidR="000C3828">
              <w:rPr>
                <w:b/>
                <w:sz w:val="18"/>
                <w:szCs w:val="16"/>
              </w:rPr>
              <w:t xml:space="preserve"> </w:t>
            </w:r>
            <w:r w:rsidR="007134A2">
              <w:rPr>
                <w:b/>
                <w:sz w:val="18"/>
                <w:szCs w:val="16"/>
              </w:rPr>
              <w:t>Non-GAAP Results</w:t>
            </w:r>
          </w:p>
        </w:tc>
      </w:tr>
      <w:tr w:rsidR="00811A35" w14:paraId="41154DDC" w14:textId="77777777" w:rsidTr="004F4490">
        <w:trPr>
          <w:trHeight w:val="300"/>
        </w:trPr>
        <w:tc>
          <w:tcPr>
            <w:tcW w:w="2305" w:type="dxa"/>
            <w:gridSpan w:val="2"/>
            <w:noWrap/>
            <w:hideMark/>
          </w:tcPr>
          <w:p w14:paraId="38DC7428" w14:textId="77777777" w:rsidR="00811A35" w:rsidRDefault="00811A35">
            <w:pPr>
              <w:pStyle w:val="Style1"/>
              <w:rPr>
                <w:sz w:val="18"/>
                <w:szCs w:val="16"/>
              </w:rPr>
            </w:pPr>
          </w:p>
        </w:tc>
        <w:tc>
          <w:tcPr>
            <w:tcW w:w="266" w:type="dxa"/>
            <w:noWrap/>
            <w:hideMark/>
          </w:tcPr>
          <w:p w14:paraId="7C60EDAE" w14:textId="77777777" w:rsidR="00811A35" w:rsidRDefault="00811A35">
            <w:pPr>
              <w:pStyle w:val="Style1"/>
              <w:rPr>
                <w:sz w:val="18"/>
                <w:szCs w:val="16"/>
              </w:rPr>
            </w:pPr>
          </w:p>
        </w:tc>
        <w:tc>
          <w:tcPr>
            <w:tcW w:w="1948" w:type="dxa"/>
            <w:noWrap/>
            <w:hideMark/>
          </w:tcPr>
          <w:p w14:paraId="2D8B3388" w14:textId="77777777" w:rsidR="00811A35" w:rsidRDefault="00811A35">
            <w:pPr>
              <w:pStyle w:val="Style1"/>
              <w:rPr>
                <w:sz w:val="18"/>
                <w:szCs w:val="16"/>
              </w:rPr>
            </w:pPr>
          </w:p>
        </w:tc>
        <w:tc>
          <w:tcPr>
            <w:tcW w:w="488" w:type="dxa"/>
            <w:noWrap/>
            <w:hideMark/>
          </w:tcPr>
          <w:p w14:paraId="5044C40B" w14:textId="77777777" w:rsidR="00811A35" w:rsidRDefault="00811A35">
            <w:pPr>
              <w:pStyle w:val="Style1"/>
              <w:rPr>
                <w:sz w:val="18"/>
                <w:szCs w:val="16"/>
              </w:rPr>
            </w:pPr>
          </w:p>
        </w:tc>
        <w:tc>
          <w:tcPr>
            <w:tcW w:w="2082" w:type="dxa"/>
            <w:noWrap/>
            <w:hideMark/>
          </w:tcPr>
          <w:p w14:paraId="7921B974" w14:textId="77777777" w:rsidR="00811A35" w:rsidRDefault="00811A35">
            <w:pPr>
              <w:pStyle w:val="Style1"/>
              <w:rPr>
                <w:sz w:val="18"/>
                <w:szCs w:val="16"/>
              </w:rPr>
            </w:pPr>
          </w:p>
        </w:tc>
        <w:tc>
          <w:tcPr>
            <w:tcW w:w="488" w:type="dxa"/>
            <w:noWrap/>
            <w:hideMark/>
          </w:tcPr>
          <w:p w14:paraId="1DD480B8" w14:textId="77777777" w:rsidR="00811A35" w:rsidRDefault="00811A35">
            <w:pPr>
              <w:pStyle w:val="Style1"/>
              <w:rPr>
                <w:sz w:val="18"/>
                <w:szCs w:val="16"/>
              </w:rPr>
            </w:pPr>
          </w:p>
        </w:tc>
        <w:tc>
          <w:tcPr>
            <w:tcW w:w="1783" w:type="dxa"/>
            <w:noWrap/>
            <w:hideMark/>
          </w:tcPr>
          <w:p w14:paraId="7C5AC3C5" w14:textId="77777777" w:rsidR="00811A35" w:rsidRDefault="00811A35">
            <w:pPr>
              <w:pStyle w:val="Style1"/>
              <w:rPr>
                <w:sz w:val="18"/>
                <w:szCs w:val="16"/>
              </w:rPr>
            </w:pPr>
          </w:p>
        </w:tc>
      </w:tr>
      <w:tr w:rsidR="00811A35" w14:paraId="0E06B28E" w14:textId="77777777" w:rsidTr="004F4490">
        <w:trPr>
          <w:trHeight w:val="300"/>
        </w:trPr>
        <w:tc>
          <w:tcPr>
            <w:tcW w:w="2305" w:type="dxa"/>
            <w:gridSpan w:val="2"/>
            <w:noWrap/>
            <w:hideMark/>
          </w:tcPr>
          <w:p w14:paraId="6958BCF9" w14:textId="77777777" w:rsidR="00811A35" w:rsidRDefault="00811A35">
            <w:pPr>
              <w:pStyle w:val="Style1"/>
              <w:rPr>
                <w:sz w:val="18"/>
                <w:szCs w:val="16"/>
              </w:rPr>
            </w:pPr>
          </w:p>
        </w:tc>
        <w:tc>
          <w:tcPr>
            <w:tcW w:w="266" w:type="dxa"/>
            <w:noWrap/>
            <w:hideMark/>
          </w:tcPr>
          <w:p w14:paraId="0C568450" w14:textId="77777777" w:rsidR="00811A35" w:rsidRDefault="00811A35">
            <w:pPr>
              <w:pStyle w:val="Style1"/>
              <w:rPr>
                <w:sz w:val="18"/>
                <w:szCs w:val="16"/>
              </w:rPr>
            </w:pPr>
          </w:p>
        </w:tc>
        <w:tc>
          <w:tcPr>
            <w:tcW w:w="1948" w:type="dxa"/>
            <w:noWrap/>
            <w:hideMark/>
          </w:tcPr>
          <w:p w14:paraId="6E1E9B18" w14:textId="77777777" w:rsidR="00811A35" w:rsidRDefault="005B4566" w:rsidP="000C3828">
            <w:pPr>
              <w:pStyle w:val="Style1"/>
              <w:jc w:val="right"/>
              <w:rPr>
                <w:b/>
                <w:bCs/>
                <w:sz w:val="18"/>
                <w:szCs w:val="16"/>
                <w:u w:val="single"/>
              </w:rPr>
            </w:pPr>
            <w:r>
              <w:rPr>
                <w:b/>
                <w:bCs/>
                <w:sz w:val="18"/>
                <w:szCs w:val="16"/>
                <w:u w:val="single"/>
              </w:rPr>
              <w:t>Q1</w:t>
            </w:r>
            <w:r w:rsidR="007134A2">
              <w:rPr>
                <w:b/>
                <w:bCs/>
                <w:sz w:val="18"/>
                <w:szCs w:val="16"/>
                <w:u w:val="single"/>
              </w:rPr>
              <w:t xml:space="preserve"> </w:t>
            </w:r>
            <w:r w:rsidR="000C3828">
              <w:rPr>
                <w:b/>
                <w:bCs/>
                <w:sz w:val="18"/>
                <w:szCs w:val="16"/>
                <w:u w:val="single"/>
              </w:rPr>
              <w:t>201</w:t>
            </w:r>
            <w:r>
              <w:rPr>
                <w:b/>
                <w:bCs/>
                <w:sz w:val="18"/>
                <w:szCs w:val="16"/>
                <w:u w:val="single"/>
              </w:rPr>
              <w:t>6</w:t>
            </w:r>
          </w:p>
        </w:tc>
        <w:tc>
          <w:tcPr>
            <w:tcW w:w="488" w:type="dxa"/>
            <w:noWrap/>
            <w:hideMark/>
          </w:tcPr>
          <w:p w14:paraId="2730E41A" w14:textId="77777777" w:rsidR="00811A35" w:rsidRDefault="00811A35">
            <w:pPr>
              <w:pStyle w:val="Style1"/>
              <w:rPr>
                <w:b/>
                <w:bCs/>
                <w:sz w:val="18"/>
                <w:szCs w:val="16"/>
                <w:u w:val="single"/>
              </w:rPr>
            </w:pPr>
          </w:p>
        </w:tc>
        <w:tc>
          <w:tcPr>
            <w:tcW w:w="2082" w:type="dxa"/>
            <w:noWrap/>
            <w:hideMark/>
          </w:tcPr>
          <w:p w14:paraId="19AB8101" w14:textId="77777777" w:rsidR="00811A35" w:rsidRDefault="005B4566" w:rsidP="000C3828">
            <w:pPr>
              <w:pStyle w:val="Style1"/>
              <w:jc w:val="right"/>
              <w:rPr>
                <w:b/>
                <w:bCs/>
                <w:sz w:val="18"/>
                <w:szCs w:val="16"/>
                <w:u w:val="single"/>
              </w:rPr>
            </w:pPr>
            <w:r>
              <w:rPr>
                <w:b/>
                <w:bCs/>
                <w:sz w:val="18"/>
                <w:szCs w:val="16"/>
                <w:u w:val="single"/>
              </w:rPr>
              <w:t>Q1</w:t>
            </w:r>
            <w:r w:rsidR="007134A2">
              <w:rPr>
                <w:b/>
                <w:bCs/>
                <w:sz w:val="18"/>
                <w:szCs w:val="16"/>
                <w:u w:val="single"/>
              </w:rPr>
              <w:t xml:space="preserve"> </w:t>
            </w:r>
            <w:r w:rsidR="000C3828">
              <w:rPr>
                <w:b/>
                <w:bCs/>
                <w:sz w:val="18"/>
                <w:szCs w:val="16"/>
                <w:u w:val="single"/>
              </w:rPr>
              <w:t>201</w:t>
            </w:r>
            <w:r>
              <w:rPr>
                <w:b/>
                <w:bCs/>
                <w:sz w:val="18"/>
                <w:szCs w:val="16"/>
                <w:u w:val="single"/>
              </w:rPr>
              <w:t>5</w:t>
            </w:r>
          </w:p>
        </w:tc>
        <w:tc>
          <w:tcPr>
            <w:tcW w:w="488" w:type="dxa"/>
            <w:noWrap/>
            <w:hideMark/>
          </w:tcPr>
          <w:p w14:paraId="6380C8BF" w14:textId="77777777" w:rsidR="00811A35" w:rsidRDefault="00811A35">
            <w:pPr>
              <w:pStyle w:val="Style1"/>
              <w:rPr>
                <w:b/>
                <w:bCs/>
                <w:sz w:val="18"/>
                <w:szCs w:val="16"/>
                <w:u w:val="single"/>
              </w:rPr>
            </w:pPr>
          </w:p>
        </w:tc>
        <w:tc>
          <w:tcPr>
            <w:tcW w:w="1783" w:type="dxa"/>
            <w:noWrap/>
            <w:hideMark/>
          </w:tcPr>
          <w:p w14:paraId="5EA228DE" w14:textId="77777777" w:rsidR="00811A35" w:rsidRDefault="007134A2">
            <w:pPr>
              <w:pStyle w:val="Style1"/>
              <w:jc w:val="right"/>
              <w:rPr>
                <w:b/>
                <w:bCs/>
                <w:sz w:val="18"/>
                <w:szCs w:val="16"/>
                <w:u w:val="single"/>
              </w:rPr>
            </w:pPr>
            <w:r>
              <w:rPr>
                <w:b/>
                <w:bCs/>
                <w:sz w:val="18"/>
                <w:szCs w:val="16"/>
                <w:u w:val="single"/>
              </w:rPr>
              <w:t>Change (%)</w:t>
            </w:r>
          </w:p>
        </w:tc>
      </w:tr>
      <w:tr w:rsidR="00811A35" w14:paraId="06382949" w14:textId="77777777" w:rsidTr="004F4490">
        <w:trPr>
          <w:trHeight w:val="300"/>
        </w:trPr>
        <w:tc>
          <w:tcPr>
            <w:tcW w:w="2571" w:type="dxa"/>
            <w:gridSpan w:val="3"/>
            <w:noWrap/>
            <w:hideMark/>
          </w:tcPr>
          <w:p w14:paraId="31FCA643" w14:textId="77777777" w:rsidR="00811A35" w:rsidRDefault="007134A2">
            <w:pPr>
              <w:pStyle w:val="Style1"/>
              <w:rPr>
                <w:sz w:val="18"/>
                <w:szCs w:val="16"/>
              </w:rPr>
            </w:pPr>
            <w:r>
              <w:rPr>
                <w:sz w:val="18"/>
                <w:szCs w:val="16"/>
              </w:rPr>
              <w:t>Operating income</w:t>
            </w:r>
          </w:p>
        </w:tc>
        <w:tc>
          <w:tcPr>
            <w:tcW w:w="1948" w:type="dxa"/>
            <w:noWrap/>
            <w:hideMark/>
          </w:tcPr>
          <w:p w14:paraId="4483266A" w14:textId="77777777" w:rsidR="00811A35" w:rsidRDefault="007134A2" w:rsidP="000C3828">
            <w:pPr>
              <w:pStyle w:val="Style1"/>
              <w:jc w:val="right"/>
              <w:rPr>
                <w:sz w:val="18"/>
                <w:szCs w:val="16"/>
              </w:rPr>
            </w:pPr>
            <w:r>
              <w:rPr>
                <w:sz w:val="18"/>
                <w:szCs w:val="16"/>
              </w:rPr>
              <w:t>$</w:t>
            </w:r>
            <w:r w:rsidR="00CF69F2">
              <w:rPr>
                <w:sz w:val="18"/>
                <w:szCs w:val="16"/>
              </w:rPr>
              <w:t>37.5</w:t>
            </w:r>
            <w:r>
              <w:rPr>
                <w:sz w:val="18"/>
                <w:szCs w:val="16"/>
              </w:rPr>
              <w:t xml:space="preserve"> million</w:t>
            </w:r>
          </w:p>
        </w:tc>
        <w:tc>
          <w:tcPr>
            <w:tcW w:w="488" w:type="dxa"/>
            <w:noWrap/>
            <w:hideMark/>
          </w:tcPr>
          <w:p w14:paraId="766594AF" w14:textId="77777777" w:rsidR="00811A35" w:rsidRDefault="00811A35">
            <w:pPr>
              <w:pStyle w:val="Style1"/>
              <w:rPr>
                <w:sz w:val="18"/>
                <w:szCs w:val="16"/>
              </w:rPr>
            </w:pPr>
          </w:p>
        </w:tc>
        <w:tc>
          <w:tcPr>
            <w:tcW w:w="2082" w:type="dxa"/>
            <w:noWrap/>
            <w:hideMark/>
          </w:tcPr>
          <w:p w14:paraId="3205F828" w14:textId="77777777" w:rsidR="00811A35" w:rsidRDefault="007134A2" w:rsidP="000C3828">
            <w:pPr>
              <w:pStyle w:val="Style1"/>
              <w:jc w:val="right"/>
              <w:rPr>
                <w:sz w:val="18"/>
                <w:szCs w:val="16"/>
              </w:rPr>
            </w:pPr>
            <w:r>
              <w:rPr>
                <w:sz w:val="18"/>
                <w:szCs w:val="16"/>
              </w:rPr>
              <w:t>$</w:t>
            </w:r>
            <w:r w:rsidR="00CF69F2">
              <w:rPr>
                <w:sz w:val="18"/>
                <w:szCs w:val="16"/>
              </w:rPr>
              <w:t>44.1</w:t>
            </w:r>
            <w:r>
              <w:rPr>
                <w:sz w:val="18"/>
                <w:szCs w:val="16"/>
              </w:rPr>
              <w:t xml:space="preserve"> million</w:t>
            </w:r>
          </w:p>
        </w:tc>
        <w:tc>
          <w:tcPr>
            <w:tcW w:w="488" w:type="dxa"/>
            <w:noWrap/>
            <w:hideMark/>
          </w:tcPr>
          <w:p w14:paraId="2A0DF6AA" w14:textId="77777777" w:rsidR="00811A35" w:rsidRDefault="00811A35">
            <w:pPr>
              <w:pStyle w:val="Style1"/>
              <w:rPr>
                <w:sz w:val="18"/>
                <w:szCs w:val="16"/>
              </w:rPr>
            </w:pPr>
          </w:p>
        </w:tc>
        <w:tc>
          <w:tcPr>
            <w:tcW w:w="1783" w:type="dxa"/>
            <w:noWrap/>
            <w:hideMark/>
          </w:tcPr>
          <w:p w14:paraId="74BCB351" w14:textId="77777777" w:rsidR="00811A35" w:rsidRDefault="00CF69F2">
            <w:pPr>
              <w:pStyle w:val="Style1"/>
              <w:jc w:val="right"/>
              <w:rPr>
                <w:i/>
                <w:sz w:val="18"/>
                <w:szCs w:val="16"/>
              </w:rPr>
            </w:pPr>
            <w:r>
              <w:rPr>
                <w:i/>
                <w:sz w:val="18"/>
                <w:szCs w:val="16"/>
              </w:rPr>
              <w:t>(15</w:t>
            </w:r>
            <w:r w:rsidR="000C3828">
              <w:rPr>
                <w:i/>
                <w:sz w:val="18"/>
                <w:szCs w:val="16"/>
              </w:rPr>
              <w:t>.1)</w:t>
            </w:r>
            <w:r w:rsidR="007134A2">
              <w:rPr>
                <w:i/>
                <w:sz w:val="18"/>
                <w:szCs w:val="16"/>
              </w:rPr>
              <w:t>%</w:t>
            </w:r>
          </w:p>
        </w:tc>
      </w:tr>
      <w:tr w:rsidR="00811A35" w14:paraId="7F2DF326" w14:textId="77777777" w:rsidTr="004F4490">
        <w:trPr>
          <w:trHeight w:val="300"/>
        </w:trPr>
        <w:tc>
          <w:tcPr>
            <w:tcW w:w="2571" w:type="dxa"/>
            <w:gridSpan w:val="3"/>
            <w:noWrap/>
          </w:tcPr>
          <w:p w14:paraId="33947690" w14:textId="77777777" w:rsidR="00811A35" w:rsidRDefault="007134A2">
            <w:pPr>
              <w:pStyle w:val="Style1"/>
              <w:rPr>
                <w:i/>
                <w:sz w:val="18"/>
                <w:szCs w:val="16"/>
              </w:rPr>
            </w:pPr>
            <w:r>
              <w:rPr>
                <w:i/>
                <w:sz w:val="18"/>
                <w:szCs w:val="16"/>
              </w:rPr>
              <w:t xml:space="preserve">  Operating Margin</w:t>
            </w:r>
          </w:p>
        </w:tc>
        <w:tc>
          <w:tcPr>
            <w:tcW w:w="1948" w:type="dxa"/>
            <w:noWrap/>
          </w:tcPr>
          <w:p w14:paraId="6195501F" w14:textId="77777777" w:rsidR="00811A35" w:rsidRDefault="00CF69F2">
            <w:pPr>
              <w:pStyle w:val="Style1"/>
              <w:jc w:val="right"/>
              <w:rPr>
                <w:i/>
                <w:sz w:val="18"/>
                <w:szCs w:val="16"/>
              </w:rPr>
            </w:pPr>
            <w:r>
              <w:rPr>
                <w:i/>
                <w:sz w:val="18"/>
                <w:szCs w:val="16"/>
              </w:rPr>
              <w:t>18.2</w:t>
            </w:r>
            <w:r w:rsidR="007134A2">
              <w:rPr>
                <w:i/>
                <w:sz w:val="18"/>
                <w:szCs w:val="16"/>
              </w:rPr>
              <w:t>%</w:t>
            </w:r>
          </w:p>
        </w:tc>
        <w:tc>
          <w:tcPr>
            <w:tcW w:w="488" w:type="dxa"/>
            <w:noWrap/>
          </w:tcPr>
          <w:p w14:paraId="382F9EFD" w14:textId="77777777" w:rsidR="00811A35" w:rsidRDefault="00811A35">
            <w:pPr>
              <w:pStyle w:val="Style1"/>
              <w:rPr>
                <w:i/>
                <w:sz w:val="18"/>
                <w:szCs w:val="16"/>
              </w:rPr>
            </w:pPr>
          </w:p>
        </w:tc>
        <w:tc>
          <w:tcPr>
            <w:tcW w:w="2082" w:type="dxa"/>
            <w:noWrap/>
          </w:tcPr>
          <w:p w14:paraId="15F30EB4" w14:textId="77777777" w:rsidR="00811A35" w:rsidRDefault="00CF69F2">
            <w:pPr>
              <w:pStyle w:val="Style1"/>
              <w:jc w:val="right"/>
              <w:rPr>
                <w:i/>
                <w:sz w:val="18"/>
                <w:szCs w:val="16"/>
              </w:rPr>
            </w:pPr>
            <w:r>
              <w:rPr>
                <w:i/>
                <w:sz w:val="18"/>
                <w:szCs w:val="16"/>
              </w:rPr>
              <w:t>20.4</w:t>
            </w:r>
            <w:r w:rsidR="007134A2">
              <w:rPr>
                <w:i/>
                <w:sz w:val="18"/>
                <w:szCs w:val="16"/>
              </w:rPr>
              <w:t>%</w:t>
            </w:r>
          </w:p>
        </w:tc>
        <w:tc>
          <w:tcPr>
            <w:tcW w:w="488" w:type="dxa"/>
            <w:noWrap/>
          </w:tcPr>
          <w:p w14:paraId="2887CB1C" w14:textId="77777777" w:rsidR="00811A35" w:rsidRDefault="00811A35">
            <w:pPr>
              <w:pStyle w:val="Style1"/>
              <w:rPr>
                <w:i/>
                <w:sz w:val="18"/>
                <w:szCs w:val="16"/>
              </w:rPr>
            </w:pPr>
          </w:p>
        </w:tc>
        <w:tc>
          <w:tcPr>
            <w:tcW w:w="1783" w:type="dxa"/>
            <w:noWrap/>
          </w:tcPr>
          <w:p w14:paraId="7C87C217" w14:textId="77777777" w:rsidR="00811A35" w:rsidRDefault="00811A35">
            <w:pPr>
              <w:pStyle w:val="Style1"/>
              <w:jc w:val="right"/>
              <w:rPr>
                <w:i/>
                <w:sz w:val="18"/>
                <w:szCs w:val="16"/>
              </w:rPr>
            </w:pPr>
          </w:p>
        </w:tc>
      </w:tr>
      <w:tr w:rsidR="00811A35" w14:paraId="22599453" w14:textId="77777777" w:rsidTr="004F4490">
        <w:trPr>
          <w:trHeight w:val="300"/>
        </w:trPr>
        <w:tc>
          <w:tcPr>
            <w:tcW w:w="2571" w:type="dxa"/>
            <w:gridSpan w:val="3"/>
            <w:noWrap/>
            <w:hideMark/>
          </w:tcPr>
          <w:p w14:paraId="20D5F051" w14:textId="77777777" w:rsidR="00811A35" w:rsidRDefault="007134A2">
            <w:pPr>
              <w:pStyle w:val="Style1"/>
              <w:rPr>
                <w:sz w:val="18"/>
                <w:szCs w:val="16"/>
              </w:rPr>
            </w:pPr>
            <w:r>
              <w:rPr>
                <w:sz w:val="18"/>
                <w:szCs w:val="16"/>
              </w:rPr>
              <w:t>Diluted EPS</w:t>
            </w:r>
          </w:p>
        </w:tc>
        <w:tc>
          <w:tcPr>
            <w:tcW w:w="1948" w:type="dxa"/>
            <w:noWrap/>
            <w:hideMark/>
          </w:tcPr>
          <w:p w14:paraId="4A71227A" w14:textId="77777777" w:rsidR="00811A35" w:rsidRDefault="007134A2" w:rsidP="000C3828">
            <w:pPr>
              <w:pStyle w:val="Style1"/>
              <w:jc w:val="right"/>
              <w:rPr>
                <w:sz w:val="18"/>
                <w:szCs w:val="16"/>
              </w:rPr>
            </w:pPr>
            <w:r>
              <w:rPr>
                <w:sz w:val="18"/>
                <w:szCs w:val="16"/>
              </w:rPr>
              <w:t>$</w:t>
            </w:r>
            <w:r w:rsidR="00CF69F2">
              <w:rPr>
                <w:sz w:val="18"/>
                <w:szCs w:val="16"/>
              </w:rPr>
              <w:t>0.67</w:t>
            </w:r>
            <w:r>
              <w:rPr>
                <w:sz w:val="18"/>
                <w:szCs w:val="16"/>
              </w:rPr>
              <w:t xml:space="preserve"> </w:t>
            </w:r>
          </w:p>
        </w:tc>
        <w:tc>
          <w:tcPr>
            <w:tcW w:w="488" w:type="dxa"/>
            <w:noWrap/>
            <w:hideMark/>
          </w:tcPr>
          <w:p w14:paraId="71446DFF" w14:textId="77777777" w:rsidR="00811A35" w:rsidRDefault="00811A35">
            <w:pPr>
              <w:pStyle w:val="Style1"/>
              <w:rPr>
                <w:sz w:val="18"/>
                <w:szCs w:val="16"/>
              </w:rPr>
            </w:pPr>
          </w:p>
        </w:tc>
        <w:tc>
          <w:tcPr>
            <w:tcW w:w="2082" w:type="dxa"/>
            <w:noWrap/>
            <w:hideMark/>
          </w:tcPr>
          <w:p w14:paraId="693CBB02" w14:textId="77777777" w:rsidR="00811A35" w:rsidRDefault="007134A2" w:rsidP="000C3828">
            <w:pPr>
              <w:pStyle w:val="Style1"/>
              <w:jc w:val="right"/>
              <w:rPr>
                <w:sz w:val="18"/>
                <w:szCs w:val="16"/>
              </w:rPr>
            </w:pPr>
            <w:r>
              <w:rPr>
                <w:sz w:val="18"/>
                <w:szCs w:val="16"/>
              </w:rPr>
              <w:t>$</w:t>
            </w:r>
            <w:r w:rsidR="00CF69F2">
              <w:rPr>
                <w:sz w:val="18"/>
                <w:szCs w:val="16"/>
              </w:rPr>
              <w:t>0.78</w:t>
            </w:r>
            <w:r>
              <w:rPr>
                <w:sz w:val="18"/>
                <w:szCs w:val="16"/>
              </w:rPr>
              <w:t xml:space="preserve"> </w:t>
            </w:r>
          </w:p>
        </w:tc>
        <w:tc>
          <w:tcPr>
            <w:tcW w:w="488" w:type="dxa"/>
            <w:noWrap/>
            <w:hideMark/>
          </w:tcPr>
          <w:p w14:paraId="59DF20CE" w14:textId="77777777" w:rsidR="00811A35" w:rsidRDefault="00811A35">
            <w:pPr>
              <w:pStyle w:val="Style1"/>
              <w:rPr>
                <w:sz w:val="18"/>
                <w:szCs w:val="16"/>
              </w:rPr>
            </w:pPr>
          </w:p>
        </w:tc>
        <w:tc>
          <w:tcPr>
            <w:tcW w:w="1783" w:type="dxa"/>
            <w:noWrap/>
            <w:hideMark/>
          </w:tcPr>
          <w:p w14:paraId="5FFA59F2" w14:textId="77777777" w:rsidR="00811A35" w:rsidRDefault="00CF69F2">
            <w:pPr>
              <w:pStyle w:val="Style1"/>
              <w:jc w:val="right"/>
              <w:rPr>
                <w:i/>
                <w:sz w:val="18"/>
                <w:szCs w:val="16"/>
              </w:rPr>
            </w:pPr>
            <w:r>
              <w:rPr>
                <w:i/>
                <w:sz w:val="18"/>
                <w:szCs w:val="16"/>
              </w:rPr>
              <w:t>(14.1</w:t>
            </w:r>
            <w:r w:rsidR="000C3828">
              <w:rPr>
                <w:i/>
                <w:sz w:val="18"/>
                <w:szCs w:val="16"/>
              </w:rPr>
              <w:t>)</w:t>
            </w:r>
            <w:r w:rsidR="007134A2">
              <w:rPr>
                <w:i/>
                <w:sz w:val="18"/>
                <w:szCs w:val="16"/>
              </w:rPr>
              <w:t>%</w:t>
            </w:r>
          </w:p>
        </w:tc>
      </w:tr>
      <w:tr w:rsidR="0014386A" w14:paraId="4A329C35" w14:textId="77777777" w:rsidTr="004F4490">
        <w:trPr>
          <w:gridBefore w:val="1"/>
          <w:wBefore w:w="218" w:type="dxa"/>
          <w:trHeight w:val="300"/>
        </w:trPr>
        <w:tc>
          <w:tcPr>
            <w:tcW w:w="9142" w:type="dxa"/>
            <w:gridSpan w:val="7"/>
            <w:noWrap/>
          </w:tcPr>
          <w:p w14:paraId="619BEDD8" w14:textId="77777777" w:rsidR="0014386A" w:rsidRDefault="0014386A" w:rsidP="0014386A">
            <w:pPr>
              <w:pStyle w:val="Style1"/>
            </w:pPr>
          </w:p>
          <w:p w14:paraId="3600726D" w14:textId="77777777" w:rsidR="0014386A" w:rsidRDefault="0014386A" w:rsidP="005B4566">
            <w:pPr>
              <w:pStyle w:val="Style1"/>
              <w:jc w:val="center"/>
              <w:rPr>
                <w:b/>
                <w:sz w:val="18"/>
                <w:szCs w:val="16"/>
              </w:rPr>
            </w:pPr>
          </w:p>
        </w:tc>
      </w:tr>
    </w:tbl>
    <w:p w14:paraId="129F8A94" w14:textId="77777777" w:rsidR="00811A35" w:rsidRDefault="007134A2">
      <w:pPr>
        <w:pStyle w:val="Style1"/>
      </w:pPr>
      <w:r>
        <w:t>A reconciliation between our GAAP and non-GAAP results is provided in the tables at the end of this press release.</w:t>
      </w:r>
    </w:p>
    <w:p w14:paraId="0D9403C5" w14:textId="2F20E1D4" w:rsidR="002E1976" w:rsidRDefault="002E1976" w:rsidP="002E1976">
      <w:pPr>
        <w:widowControl w:val="0"/>
        <w:autoSpaceDE w:val="0"/>
        <w:autoSpaceDN w:val="0"/>
        <w:adjustRightInd w:val="0"/>
        <w:spacing w:after="260"/>
        <w:rPr>
          <w:rFonts w:ascii="Times" w:hAnsi="Times" w:cs="Arial"/>
        </w:rPr>
      </w:pPr>
      <w:r w:rsidRPr="00EB2F73">
        <w:rPr>
          <w:rFonts w:ascii="Times" w:hAnsi="Times" w:cs="Arial"/>
        </w:rPr>
        <w:t xml:space="preserve">“Our </w:t>
      </w:r>
      <w:r w:rsidR="005B4566">
        <w:rPr>
          <w:rFonts w:ascii="Times" w:hAnsi="Times" w:cs="Arial"/>
        </w:rPr>
        <w:t>first</w:t>
      </w:r>
      <w:r>
        <w:rPr>
          <w:rFonts w:ascii="Times" w:hAnsi="Times" w:cs="Arial"/>
        </w:rPr>
        <w:t xml:space="preserve"> quarter </w:t>
      </w:r>
      <w:r w:rsidR="00B43823">
        <w:rPr>
          <w:rFonts w:ascii="Times" w:hAnsi="Times" w:cs="Arial"/>
        </w:rPr>
        <w:t>financial</w:t>
      </w:r>
      <w:r>
        <w:rPr>
          <w:rFonts w:ascii="Times" w:hAnsi="Times" w:cs="Arial"/>
        </w:rPr>
        <w:t xml:space="preserve"> results </w:t>
      </w:r>
      <w:r w:rsidR="009135DD">
        <w:rPr>
          <w:rFonts w:ascii="Times" w:hAnsi="Times" w:cs="Arial"/>
        </w:rPr>
        <w:t>were in-</w:t>
      </w:r>
      <w:r w:rsidR="00B039F3">
        <w:rPr>
          <w:rFonts w:ascii="Times" w:hAnsi="Times" w:cs="Arial"/>
        </w:rPr>
        <w:t>line with our expectations</w:t>
      </w:r>
      <w:r w:rsidR="00B43823">
        <w:rPr>
          <w:rFonts w:ascii="Times" w:hAnsi="Times" w:cs="Arial"/>
        </w:rPr>
        <w:t xml:space="preserve"> and we executed well on the product side with the</w:t>
      </w:r>
      <w:r w:rsidR="00ED5A9A">
        <w:rPr>
          <w:rFonts w:ascii="Times" w:hAnsi="Times" w:cs="Arial"/>
        </w:rPr>
        <w:t xml:space="preserve"> recent</w:t>
      </w:r>
      <w:r w:rsidR="00B43823">
        <w:rPr>
          <w:rFonts w:ascii="Times" w:hAnsi="Times" w:cs="Arial"/>
        </w:rPr>
        <w:t xml:space="preserve"> introduction of several innovative new products for Unified Communications</w:t>
      </w:r>
      <w:r w:rsidR="00ED5A9A">
        <w:rPr>
          <w:rFonts w:ascii="Times" w:hAnsi="Times" w:cs="Arial"/>
        </w:rPr>
        <w:t>, Consumer Entertainment</w:t>
      </w:r>
      <w:r w:rsidR="00B43823">
        <w:rPr>
          <w:rFonts w:ascii="Times" w:hAnsi="Times" w:cs="Arial"/>
        </w:rPr>
        <w:t xml:space="preserve"> and Gaming</w:t>
      </w:r>
      <w:r w:rsidRPr="002E1976">
        <w:rPr>
          <w:rFonts w:ascii="Times" w:hAnsi="Times" w:cs="Arial"/>
        </w:rPr>
        <w:t>,” sta</w:t>
      </w:r>
      <w:r w:rsidRPr="00EB2F73">
        <w:rPr>
          <w:rFonts w:ascii="Times" w:hAnsi="Times" w:cs="Arial"/>
        </w:rPr>
        <w:t>ted Ken Kannappan, President &amp; CEO</w:t>
      </w:r>
      <w:r>
        <w:rPr>
          <w:rFonts w:ascii="Times" w:hAnsi="Times" w:cs="Arial"/>
        </w:rPr>
        <w:t>.</w:t>
      </w:r>
      <w:r w:rsidRPr="00EB2F73">
        <w:rPr>
          <w:rFonts w:ascii="Times" w:hAnsi="Times" w:cs="Arial"/>
        </w:rPr>
        <w:t xml:space="preserve"> </w:t>
      </w:r>
      <w:r>
        <w:rPr>
          <w:rFonts w:ascii="Times" w:hAnsi="Times" w:cs="Arial"/>
        </w:rPr>
        <w:t xml:space="preserve"> “</w:t>
      </w:r>
      <w:r w:rsidR="008822FD">
        <w:rPr>
          <w:rFonts w:ascii="Times" w:hAnsi="Times" w:cs="Arial"/>
        </w:rPr>
        <w:t xml:space="preserve">We significantly reduced our share count during the quarter </w:t>
      </w:r>
      <w:r w:rsidR="00125742">
        <w:rPr>
          <w:rFonts w:ascii="Times" w:hAnsi="Times" w:cs="Arial"/>
        </w:rPr>
        <w:t>by</w:t>
      </w:r>
      <w:r w:rsidR="008822FD">
        <w:rPr>
          <w:rFonts w:ascii="Times" w:hAnsi="Times" w:cs="Arial"/>
        </w:rPr>
        <w:t xml:space="preserve"> purchas</w:t>
      </w:r>
      <w:r w:rsidR="00125742">
        <w:rPr>
          <w:rFonts w:ascii="Times" w:hAnsi="Times" w:cs="Arial"/>
        </w:rPr>
        <w:t>ing</w:t>
      </w:r>
      <w:r w:rsidR="008822FD">
        <w:rPr>
          <w:rFonts w:ascii="Times" w:hAnsi="Times" w:cs="Arial"/>
        </w:rPr>
        <w:t xml:space="preserve"> over five million shares </w:t>
      </w:r>
      <w:r w:rsidR="00125742">
        <w:rPr>
          <w:rFonts w:ascii="Times" w:hAnsi="Times" w:cs="Arial"/>
        </w:rPr>
        <w:t>through the strategic use</w:t>
      </w:r>
      <w:r w:rsidR="008822FD">
        <w:rPr>
          <w:rFonts w:ascii="Times" w:hAnsi="Times" w:cs="Arial"/>
        </w:rPr>
        <w:t xml:space="preserve"> of </w:t>
      </w:r>
      <w:r w:rsidR="00125742">
        <w:rPr>
          <w:rFonts w:ascii="Times" w:hAnsi="Times" w:cs="Arial"/>
        </w:rPr>
        <w:t xml:space="preserve">our line </w:t>
      </w:r>
      <w:r w:rsidR="00C10903">
        <w:rPr>
          <w:rFonts w:ascii="Times" w:hAnsi="Times" w:cs="Arial"/>
        </w:rPr>
        <w:t>of</w:t>
      </w:r>
      <w:r w:rsidR="00125742">
        <w:rPr>
          <w:rFonts w:ascii="Times" w:hAnsi="Times" w:cs="Arial"/>
        </w:rPr>
        <w:t xml:space="preserve"> credit with Wells Fargo and thereafter a portion of </w:t>
      </w:r>
      <w:r w:rsidR="008822FD">
        <w:rPr>
          <w:rFonts w:ascii="Times" w:hAnsi="Times" w:cs="Arial"/>
        </w:rPr>
        <w:t xml:space="preserve">the proceeds </w:t>
      </w:r>
      <w:r w:rsidR="00AC6EE6">
        <w:rPr>
          <w:rFonts w:ascii="Times" w:hAnsi="Times" w:cs="Arial"/>
        </w:rPr>
        <w:t xml:space="preserve">from </w:t>
      </w:r>
      <w:r w:rsidR="008822FD">
        <w:rPr>
          <w:rFonts w:ascii="Times" w:hAnsi="Times" w:cs="Arial"/>
        </w:rPr>
        <w:t xml:space="preserve">our $500 million </w:t>
      </w:r>
      <w:r w:rsidR="00AC6EE6">
        <w:rPr>
          <w:rFonts w:ascii="Times" w:hAnsi="Times" w:cs="Arial"/>
        </w:rPr>
        <w:t xml:space="preserve">senior notes </w:t>
      </w:r>
      <w:r w:rsidR="008822FD">
        <w:rPr>
          <w:rFonts w:ascii="Times" w:hAnsi="Times" w:cs="Arial"/>
        </w:rPr>
        <w:t>offering.”</w:t>
      </w:r>
      <w:r w:rsidRPr="00EB2F73">
        <w:rPr>
          <w:rFonts w:ascii="Times" w:hAnsi="Times" w:cs="Arial"/>
        </w:rPr>
        <w:t xml:space="preserve">  </w:t>
      </w:r>
    </w:p>
    <w:p w14:paraId="0261524B" w14:textId="0D280FBE" w:rsidR="002E1976" w:rsidRPr="002E1976" w:rsidRDefault="00316B31" w:rsidP="002E1976">
      <w:pPr>
        <w:pStyle w:val="Style1"/>
      </w:pPr>
      <w:r>
        <w:t>“</w:t>
      </w:r>
      <w:r w:rsidR="008822FD">
        <w:t>Our quarter ending cash, cash equivalents and investments grew to $68</w:t>
      </w:r>
      <w:r w:rsidR="00DD19F2">
        <w:t>3</w:t>
      </w:r>
      <w:r w:rsidR="008822FD">
        <w:t xml:space="preserve"> million </w:t>
      </w:r>
      <w:r w:rsidR="00125742">
        <w:t xml:space="preserve">principally </w:t>
      </w:r>
      <w:r w:rsidR="008822FD">
        <w:t xml:space="preserve">as a result of the proceeds of our </w:t>
      </w:r>
      <w:r w:rsidR="00AC6EE6">
        <w:t xml:space="preserve">senior notes </w:t>
      </w:r>
      <w:r w:rsidR="008822FD">
        <w:t xml:space="preserve">offering, offset by </w:t>
      </w:r>
      <w:r w:rsidR="00863B66">
        <w:t xml:space="preserve">approximately $284 million which we used to </w:t>
      </w:r>
      <w:r w:rsidR="008822FD">
        <w:t xml:space="preserve">pay off our line of credit and </w:t>
      </w:r>
      <w:r w:rsidR="00863B66">
        <w:t>to repurchase additional shares of our stock</w:t>
      </w:r>
      <w:r>
        <w:t xml:space="preserve">,” stated </w:t>
      </w:r>
      <w:r>
        <w:rPr>
          <w:rFonts w:ascii="Times" w:hAnsi="Times" w:cs="Arial"/>
        </w:rPr>
        <w:t>Pam Strayer, Senior Vice President and Chief Financial Officer</w:t>
      </w:r>
      <w:r>
        <w:t>.</w:t>
      </w:r>
      <w:r w:rsidR="008822FD">
        <w:t xml:space="preserve">  </w:t>
      </w:r>
      <w:r>
        <w:t>“</w:t>
      </w:r>
      <w:r w:rsidR="00004548">
        <w:t>On a constant currency basis, our overall revenue declined by 1%, but our Enterprise revenues grew by 3%</w:t>
      </w:r>
      <w:r>
        <w:t>.”</w:t>
      </w:r>
    </w:p>
    <w:p w14:paraId="6A9EC3C9" w14:textId="77777777" w:rsidR="00811A35" w:rsidRDefault="00B26B89">
      <w:pPr>
        <w:pStyle w:val="Style1"/>
      </w:pPr>
      <w:r>
        <w:t xml:space="preserve">Enterprise </w:t>
      </w:r>
      <w:r w:rsidR="007134A2">
        <w:t xml:space="preserve">net revenues </w:t>
      </w:r>
      <w:r w:rsidR="00B039F3">
        <w:t xml:space="preserve">were down slightly </w:t>
      </w:r>
      <w:r w:rsidR="007134A2">
        <w:t>to $</w:t>
      </w:r>
      <w:r w:rsidR="00B039F3">
        <w:t>151.8</w:t>
      </w:r>
      <w:r w:rsidR="007134A2">
        <w:t xml:space="preserve"> million in the </w:t>
      </w:r>
      <w:r w:rsidR="005B4566">
        <w:t>first</w:t>
      </w:r>
      <w:r w:rsidR="007134A2">
        <w:t xml:space="preserve"> quarter of fiscal year </w:t>
      </w:r>
      <w:r w:rsidR="00B039F3">
        <w:t>2016</w:t>
      </w:r>
      <w:r>
        <w:t xml:space="preserve"> </w:t>
      </w:r>
      <w:r w:rsidR="007134A2">
        <w:t>compared with $</w:t>
      </w:r>
      <w:r w:rsidR="00B039F3">
        <w:t>152.4</w:t>
      </w:r>
      <w:r w:rsidR="007134A2">
        <w:t xml:space="preserve"> million in the </w:t>
      </w:r>
      <w:r w:rsidR="005B4566">
        <w:t>first</w:t>
      </w:r>
      <w:r w:rsidR="007134A2">
        <w:t xml:space="preserve"> quarter of fiscal </w:t>
      </w:r>
      <w:r w:rsidR="007134A2" w:rsidRPr="00E45CDF">
        <w:t xml:space="preserve">year </w:t>
      </w:r>
      <w:r w:rsidR="00B039F3">
        <w:t>2015</w:t>
      </w:r>
      <w:r w:rsidR="008822FD">
        <w:t>.</w:t>
      </w:r>
    </w:p>
    <w:p w14:paraId="67C9ED3B" w14:textId="77777777" w:rsidR="00092E9E" w:rsidRDefault="00B26B89">
      <w:pPr>
        <w:pStyle w:val="Style1"/>
      </w:pPr>
      <w:r>
        <w:t xml:space="preserve">Consumer </w:t>
      </w:r>
      <w:r w:rsidR="007134A2">
        <w:t>net revenues were $</w:t>
      </w:r>
      <w:r w:rsidR="00B039F3">
        <w:t>54.6</w:t>
      </w:r>
      <w:r w:rsidR="007134A2">
        <w:t xml:space="preserve"> million in the </w:t>
      </w:r>
      <w:r w:rsidR="005B4566">
        <w:t>first</w:t>
      </w:r>
      <w:r w:rsidR="007134A2">
        <w:t xml:space="preserve"> quarter of fiscal year </w:t>
      </w:r>
      <w:r w:rsidR="00B039F3">
        <w:t>2016</w:t>
      </w:r>
      <w:r w:rsidR="007134A2" w:rsidRPr="00E45CDF">
        <w:t>, down from</w:t>
      </w:r>
      <w:r w:rsidR="007134A2">
        <w:t xml:space="preserve"> $</w:t>
      </w:r>
      <w:r w:rsidR="00B039F3">
        <w:t>64.3</w:t>
      </w:r>
      <w:r w:rsidR="007134A2">
        <w:t xml:space="preserve"> million in the </w:t>
      </w:r>
      <w:r w:rsidR="005B4566">
        <w:t>first</w:t>
      </w:r>
      <w:r w:rsidR="007134A2">
        <w:t xml:space="preserve"> quarter of fiscal year </w:t>
      </w:r>
      <w:r w:rsidR="00B039F3">
        <w:t>2015</w:t>
      </w:r>
      <w:r w:rsidR="007A5BA3">
        <w:t>, due</w:t>
      </w:r>
      <w:r w:rsidR="00863B66">
        <w:t xml:space="preserve"> primarily</w:t>
      </w:r>
      <w:r w:rsidR="007A5BA3">
        <w:t xml:space="preserve"> </w:t>
      </w:r>
      <w:r w:rsidR="00092045">
        <w:t xml:space="preserve">to </w:t>
      </w:r>
      <w:r w:rsidR="00324F6B">
        <w:t xml:space="preserve">a decline in </w:t>
      </w:r>
      <w:r w:rsidR="00662E30">
        <w:t xml:space="preserve">mono Bluetooth </w:t>
      </w:r>
      <w:r w:rsidR="00863B66">
        <w:t>demand</w:t>
      </w:r>
      <w:r w:rsidR="00F87080">
        <w:t xml:space="preserve"> and </w:t>
      </w:r>
      <w:r w:rsidR="00B039F3">
        <w:t>reduced sales of stereo Bluetooth</w:t>
      </w:r>
      <w:r w:rsidR="00863B66">
        <w:t xml:space="preserve"> products</w:t>
      </w:r>
      <w:r w:rsidR="00662E30">
        <w:t>.</w:t>
      </w:r>
      <w:r w:rsidR="007A5BA3">
        <w:t xml:space="preserve"> </w:t>
      </w:r>
    </w:p>
    <w:p w14:paraId="489EE0E7" w14:textId="77777777" w:rsidR="00811A35" w:rsidRPr="00A935A3" w:rsidRDefault="007134A2">
      <w:pPr>
        <w:pStyle w:val="Style1"/>
      </w:pPr>
      <w:r>
        <w:rPr>
          <w:b/>
          <w:bCs/>
        </w:rPr>
        <w:t xml:space="preserve">Plantronics </w:t>
      </w:r>
      <w:r w:rsidR="00E45CDF">
        <w:rPr>
          <w:b/>
          <w:bCs/>
        </w:rPr>
        <w:t xml:space="preserve">Announces </w:t>
      </w:r>
      <w:r>
        <w:rPr>
          <w:b/>
          <w:bCs/>
        </w:rPr>
        <w:t xml:space="preserve">Quarterly Dividend </w:t>
      </w:r>
      <w:r w:rsidR="00E45CDF">
        <w:rPr>
          <w:b/>
          <w:bCs/>
        </w:rPr>
        <w:t>of</w:t>
      </w:r>
      <w:r>
        <w:rPr>
          <w:b/>
          <w:bCs/>
        </w:rPr>
        <w:t xml:space="preserve"> $0.15</w:t>
      </w:r>
    </w:p>
    <w:p w14:paraId="1226CA0C" w14:textId="77777777" w:rsidR="00E40733" w:rsidRDefault="00E40733" w:rsidP="00E40733">
      <w:pPr>
        <w:widowControl w:val="0"/>
        <w:autoSpaceDE w:val="0"/>
        <w:autoSpaceDN w:val="0"/>
        <w:adjustRightInd w:val="0"/>
        <w:spacing w:after="260"/>
      </w:pPr>
      <w:r w:rsidRPr="00EF7EF9">
        <w:t>We are also announcing that we</w:t>
      </w:r>
      <w:r>
        <w:t xml:space="preserve"> have declared a quarterly dividend of $0.15 per common share, to be paid on </w:t>
      </w:r>
      <w:r w:rsidR="007A4612">
        <w:t xml:space="preserve">September </w:t>
      </w:r>
      <w:r>
        <w:t xml:space="preserve">10, 2015 to all shareholders of record as of the close of business on </w:t>
      </w:r>
      <w:r w:rsidR="007A4612">
        <w:t xml:space="preserve">August </w:t>
      </w:r>
      <w:r>
        <w:t xml:space="preserve">20, 2015. </w:t>
      </w:r>
    </w:p>
    <w:p w14:paraId="7521F6D0" w14:textId="77777777" w:rsidR="00811A35" w:rsidRDefault="007134A2">
      <w:pPr>
        <w:pStyle w:val="NormalWeb"/>
        <w:spacing w:after="0" w:afterAutospacing="0"/>
        <w:jc w:val="both"/>
        <w:rPr>
          <w:b/>
          <w:bCs/>
        </w:rPr>
      </w:pPr>
      <w:r>
        <w:rPr>
          <w:b/>
          <w:bCs/>
        </w:rPr>
        <w:t>Business Outlook</w:t>
      </w:r>
    </w:p>
    <w:p w14:paraId="33067C34" w14:textId="77777777" w:rsidR="00811A35" w:rsidRDefault="007134A2">
      <w:pPr>
        <w:pStyle w:val="Style1"/>
        <w:jc w:val="both"/>
      </w:pPr>
      <w:r>
        <w:t>The following statements are based on our current expectations and many of these statements are forward-looking.  Actual results are subject to a variety of risks and uncertainties and may differ materially from our expectations.</w:t>
      </w:r>
    </w:p>
    <w:p w14:paraId="1AD7AD6F" w14:textId="77777777" w:rsidR="00811A35" w:rsidRDefault="007134A2">
      <w:pPr>
        <w:pStyle w:val="NormalWeb"/>
      </w:pPr>
      <w:r>
        <w:t xml:space="preserve">We have a “book and ship” business model whereby we fulfill the majority of orders received within 48 hours of receipt of those orders.  However, our backlog is occasionally subject to cancellation or rescheduling by our customers on short notice with little or no penalty.  Therefore, there is a lack of meaningful correlation between backlog at the end of a fiscal period and net revenues in a succeeding fiscal period. </w:t>
      </w:r>
    </w:p>
    <w:p w14:paraId="5F254D4B" w14:textId="77777777" w:rsidR="00811A35" w:rsidRDefault="007134A2">
      <w:pPr>
        <w:pStyle w:val="Style1"/>
      </w:pPr>
      <w:r>
        <w:lastRenderedPageBreak/>
        <w:t>Our business is inherently difficult to forecast, particularly with continuing uncertainty in regional economic conditions</w:t>
      </w:r>
      <w:r w:rsidR="005321B5">
        <w:t xml:space="preserve"> and currency fluctuations</w:t>
      </w:r>
      <w:r>
        <w:t xml:space="preserve">, and there can be no assurance that expectations of incoming orders over the balance of the current quarter will materialize.  </w:t>
      </w:r>
    </w:p>
    <w:p w14:paraId="35132B83" w14:textId="77777777" w:rsidR="00811A35" w:rsidRDefault="007134A2">
      <w:pPr>
        <w:pStyle w:val="NormalWeb"/>
      </w:pPr>
      <w:r>
        <w:t xml:space="preserve">Subject to the foregoing, we currently expect the following range of financial results for the </w:t>
      </w:r>
      <w:r w:rsidR="008822FD">
        <w:t>second</w:t>
      </w:r>
      <w:r w:rsidR="00A11520">
        <w:t xml:space="preserve"> quarter of fiscal year 2016</w:t>
      </w:r>
      <w:r>
        <w:t>:</w:t>
      </w:r>
    </w:p>
    <w:p w14:paraId="3B78FE55" w14:textId="4D347C86" w:rsidR="007134A2" w:rsidRPr="00812CFE" w:rsidRDefault="007134A2" w:rsidP="007134A2">
      <w:pPr>
        <w:numPr>
          <w:ilvl w:val="0"/>
          <w:numId w:val="1"/>
        </w:numPr>
        <w:spacing w:before="100" w:beforeAutospacing="1" w:after="100" w:afterAutospacing="1"/>
      </w:pPr>
      <w:r w:rsidRPr="001E476F">
        <w:rPr>
          <w:bCs/>
        </w:rPr>
        <w:t>Net revenues of $</w:t>
      </w:r>
      <w:r w:rsidR="008822FD">
        <w:rPr>
          <w:bCs/>
        </w:rPr>
        <w:t>2</w:t>
      </w:r>
      <w:r w:rsidR="008C4736">
        <w:rPr>
          <w:bCs/>
        </w:rPr>
        <w:t>02</w:t>
      </w:r>
      <w:r w:rsidRPr="001E476F">
        <w:rPr>
          <w:bCs/>
        </w:rPr>
        <w:t xml:space="preserve"> </w:t>
      </w:r>
      <w:r w:rsidR="00BB00CD">
        <w:rPr>
          <w:bCs/>
        </w:rPr>
        <w:t>million to $</w:t>
      </w:r>
      <w:r w:rsidR="008C4736">
        <w:rPr>
          <w:bCs/>
        </w:rPr>
        <w:t>2</w:t>
      </w:r>
      <w:r w:rsidR="001C710D">
        <w:rPr>
          <w:bCs/>
        </w:rPr>
        <w:t>12</w:t>
      </w:r>
      <w:r w:rsidR="008C4736" w:rsidRPr="00812CFE">
        <w:rPr>
          <w:bCs/>
        </w:rPr>
        <w:t xml:space="preserve"> </w:t>
      </w:r>
      <w:r w:rsidRPr="00812CFE">
        <w:rPr>
          <w:bCs/>
        </w:rPr>
        <w:t>million; </w:t>
      </w:r>
      <w:r w:rsidRPr="00812CFE">
        <w:t xml:space="preserve"> </w:t>
      </w:r>
    </w:p>
    <w:p w14:paraId="2BC1D022" w14:textId="5EA48C8C" w:rsidR="007134A2" w:rsidRPr="00812CFE" w:rsidRDefault="007134A2" w:rsidP="007134A2">
      <w:pPr>
        <w:numPr>
          <w:ilvl w:val="0"/>
          <w:numId w:val="1"/>
        </w:numPr>
        <w:spacing w:before="100" w:beforeAutospacing="1" w:after="100" w:afterAutospacing="1"/>
      </w:pPr>
      <w:r w:rsidRPr="00812CFE">
        <w:t>GAAP operating income of $</w:t>
      </w:r>
      <w:r w:rsidR="008C4736">
        <w:rPr>
          <w:bCs/>
        </w:rPr>
        <w:t>25</w:t>
      </w:r>
      <w:r w:rsidR="008C4736" w:rsidRPr="00812CFE">
        <w:t xml:space="preserve"> </w:t>
      </w:r>
      <w:r w:rsidRPr="00812CFE">
        <w:t>million to $</w:t>
      </w:r>
      <w:r w:rsidR="008C4736">
        <w:rPr>
          <w:bCs/>
        </w:rPr>
        <w:t>29</w:t>
      </w:r>
      <w:r w:rsidR="008C4736" w:rsidRPr="00812CFE">
        <w:t xml:space="preserve"> </w:t>
      </w:r>
      <w:r w:rsidRPr="00812CFE">
        <w:t>million;</w:t>
      </w:r>
    </w:p>
    <w:p w14:paraId="455A663E" w14:textId="1639F3CF" w:rsidR="007134A2" w:rsidRPr="00812CFE" w:rsidRDefault="007134A2" w:rsidP="007134A2">
      <w:pPr>
        <w:numPr>
          <w:ilvl w:val="0"/>
          <w:numId w:val="1"/>
        </w:numPr>
        <w:spacing w:before="100" w:beforeAutospacing="1" w:after="100" w:afterAutospacing="1"/>
      </w:pPr>
      <w:r w:rsidRPr="00812CFE">
        <w:t>Non-GAAP operating income of $</w:t>
      </w:r>
      <w:r w:rsidR="008C4736">
        <w:t>34</w:t>
      </w:r>
      <w:r w:rsidR="008C4736" w:rsidRPr="00812CFE">
        <w:rPr>
          <w:bCs/>
        </w:rPr>
        <w:t xml:space="preserve"> </w:t>
      </w:r>
      <w:r w:rsidR="00BB00CD">
        <w:t>million to $</w:t>
      </w:r>
      <w:r w:rsidR="008C4736">
        <w:t>38</w:t>
      </w:r>
      <w:r w:rsidR="008C4736" w:rsidRPr="00812CFE">
        <w:t xml:space="preserve"> </w:t>
      </w:r>
      <w:r w:rsidRPr="00812CFE">
        <w:t>million, excluding the impact of $</w:t>
      </w:r>
      <w:r w:rsidR="008C4736">
        <w:rPr>
          <w:bCs/>
        </w:rPr>
        <w:t>9</w:t>
      </w:r>
      <w:r w:rsidRPr="00812CFE">
        <w:t xml:space="preserve"> million from stock-based compensation and purchase accounting amortization from GAAP operating income;</w:t>
      </w:r>
    </w:p>
    <w:p w14:paraId="381133B6" w14:textId="484AF88E" w:rsidR="007134A2" w:rsidRPr="00812CFE" w:rsidRDefault="007134A2" w:rsidP="007134A2">
      <w:pPr>
        <w:numPr>
          <w:ilvl w:val="0"/>
          <w:numId w:val="1"/>
        </w:numPr>
        <w:spacing w:before="100" w:beforeAutospacing="1" w:after="100" w:afterAutospacing="1"/>
      </w:pPr>
      <w:r w:rsidRPr="00812CFE">
        <w:t xml:space="preserve">Assuming approximately </w:t>
      </w:r>
      <w:r w:rsidR="008C4736">
        <w:rPr>
          <w:bCs/>
        </w:rPr>
        <w:t>35</w:t>
      </w:r>
      <w:r w:rsidRPr="00812CFE">
        <w:rPr>
          <w:bCs/>
        </w:rPr>
        <w:t xml:space="preserve"> </w:t>
      </w:r>
      <w:r w:rsidRPr="00812CFE">
        <w:t>million diluted average weighted shares outstanding:</w:t>
      </w:r>
    </w:p>
    <w:p w14:paraId="06F9A922" w14:textId="2675F510" w:rsidR="007134A2" w:rsidRPr="00812CFE" w:rsidRDefault="007134A2" w:rsidP="007134A2">
      <w:pPr>
        <w:pStyle w:val="ListParagraph"/>
        <w:numPr>
          <w:ilvl w:val="1"/>
          <w:numId w:val="1"/>
        </w:numPr>
        <w:spacing w:before="100" w:beforeAutospacing="1" w:after="100" w:afterAutospacing="1"/>
      </w:pPr>
      <w:r w:rsidRPr="00812CFE">
        <w:t>GAAP diluted EPS of $0.</w:t>
      </w:r>
      <w:r w:rsidR="008C4736">
        <w:t>39</w:t>
      </w:r>
      <w:r w:rsidRPr="00812CFE">
        <w:t xml:space="preserve"> to $0.</w:t>
      </w:r>
      <w:r w:rsidR="008C4736">
        <w:t>4</w:t>
      </w:r>
      <w:r w:rsidR="000C0A8F">
        <w:t>7</w:t>
      </w:r>
      <w:r w:rsidRPr="00812CFE">
        <w:t xml:space="preserve">;   </w:t>
      </w:r>
    </w:p>
    <w:p w14:paraId="32DA32ED" w14:textId="164730EB" w:rsidR="007134A2" w:rsidRPr="00812CFE" w:rsidRDefault="00BB00CD" w:rsidP="007134A2">
      <w:pPr>
        <w:pStyle w:val="ListParagraph"/>
        <w:numPr>
          <w:ilvl w:val="1"/>
          <w:numId w:val="1"/>
        </w:numPr>
        <w:spacing w:before="100" w:beforeAutospacing="1" w:after="100" w:afterAutospacing="1"/>
      </w:pPr>
      <w:r>
        <w:rPr>
          <w:bCs/>
        </w:rPr>
        <w:t>Non-GAAP diluted EPS of $0.</w:t>
      </w:r>
      <w:r w:rsidR="008C4736">
        <w:rPr>
          <w:bCs/>
        </w:rPr>
        <w:t xml:space="preserve">58 </w:t>
      </w:r>
      <w:r w:rsidR="007134A2">
        <w:rPr>
          <w:bCs/>
        </w:rPr>
        <w:t>to</w:t>
      </w:r>
      <w:r>
        <w:rPr>
          <w:bCs/>
        </w:rPr>
        <w:t xml:space="preserve"> $0.</w:t>
      </w:r>
      <w:r w:rsidR="008C4736">
        <w:rPr>
          <w:bCs/>
        </w:rPr>
        <w:t>6</w:t>
      </w:r>
      <w:r w:rsidR="000C0A8F">
        <w:rPr>
          <w:bCs/>
        </w:rPr>
        <w:t>6</w:t>
      </w:r>
      <w:r w:rsidR="007134A2" w:rsidRPr="00812CFE">
        <w:rPr>
          <w:bCs/>
        </w:rPr>
        <w:t>; and</w:t>
      </w:r>
    </w:p>
    <w:p w14:paraId="77E08310" w14:textId="077AE06D" w:rsidR="007134A2" w:rsidRPr="00812CFE" w:rsidRDefault="007134A2" w:rsidP="007134A2">
      <w:pPr>
        <w:pStyle w:val="ListParagraph"/>
        <w:numPr>
          <w:ilvl w:val="1"/>
          <w:numId w:val="1"/>
        </w:numPr>
        <w:spacing w:before="100" w:beforeAutospacing="1" w:after="100" w:afterAutospacing="1"/>
      </w:pPr>
      <w:r w:rsidRPr="00812CFE">
        <w:t>Cost of stock-based compensation and purchase accounting amortization to be approximately $0.</w:t>
      </w:r>
      <w:r w:rsidR="008C4736">
        <w:t>19</w:t>
      </w:r>
      <w:r w:rsidRPr="00812CFE">
        <w:rPr>
          <w:bCs/>
        </w:rPr>
        <w:t xml:space="preserve"> per diluted share.</w:t>
      </w:r>
    </w:p>
    <w:p w14:paraId="7B10FC43" w14:textId="77777777" w:rsidR="00811A35" w:rsidRDefault="007134A2">
      <w:pPr>
        <w:spacing w:before="100" w:beforeAutospacing="1" w:after="240"/>
      </w:pPr>
      <w:r>
        <w:t xml:space="preserve">Please see our updated Investor Relations Presentation available on our corporate website at </w:t>
      </w:r>
      <w:hyperlink r:id="rId12" w:history="1">
        <w:r>
          <w:rPr>
            <w:rStyle w:val="Hyperlink"/>
          </w:rPr>
          <w:t>www.plantronics.com/ir</w:t>
        </w:r>
      </w:hyperlink>
      <w:r>
        <w:t>.</w:t>
      </w:r>
    </w:p>
    <w:p w14:paraId="55AA957E" w14:textId="77777777" w:rsidR="00811A35" w:rsidRDefault="007134A2">
      <w:pPr>
        <w:pStyle w:val="NormalWeb"/>
        <w:outlineLvl w:val="0"/>
      </w:pPr>
      <w:r>
        <w:rPr>
          <w:b/>
          <w:bCs/>
        </w:rPr>
        <w:t>Conference Call Scheduled to Discuss Financial Results</w:t>
      </w:r>
    </w:p>
    <w:p w14:paraId="0C35E60F" w14:textId="38452D45" w:rsidR="00DC38B9" w:rsidRDefault="007134A2">
      <w:pPr>
        <w:pStyle w:val="Style1"/>
      </w:pPr>
      <w:r>
        <w:t xml:space="preserve">We have scheduled a conference call to discuss </w:t>
      </w:r>
      <w:r w:rsidR="005B4566">
        <w:t>first</w:t>
      </w:r>
      <w:r>
        <w:t xml:space="preserve"> quarte</w:t>
      </w:r>
      <w:r w:rsidR="00BB00CD">
        <w:t>r</w:t>
      </w:r>
      <w:r w:rsidR="00012742">
        <w:t xml:space="preserve"> fiscal 2016 financial results</w:t>
      </w:r>
      <w:r>
        <w:t>.  The conference call</w:t>
      </w:r>
      <w:r w:rsidR="00BB00CD">
        <w:t xml:space="preserve"> will take place today, </w:t>
      </w:r>
      <w:r w:rsidR="008822FD">
        <w:t>July</w:t>
      </w:r>
      <w:r w:rsidR="00BB00CD">
        <w:t xml:space="preserve"> 27, 2015</w:t>
      </w:r>
      <w:r w:rsidR="008822FD">
        <w:t>, at 2</w:t>
      </w:r>
      <w:r>
        <w:t>:</w:t>
      </w:r>
      <w:r w:rsidR="00DC38B9">
        <w:t xml:space="preserve">00 </w:t>
      </w:r>
      <w:r w:rsidR="008822FD">
        <w:t>P</w:t>
      </w:r>
      <w:r>
        <w:t>M (Pacific Time).  All interested investors and potential investors in our stock are invited to participate.  To listen to the call, please dial in five to ten minutes prior to the scheduled starting time and refer to the “Plantronics Conference Call.”  Participants from North America should call (888) 301-8736 and other participants should call (706) 634-7260.</w:t>
      </w:r>
    </w:p>
    <w:p w14:paraId="0AC7746A" w14:textId="77777777" w:rsidR="00811A35" w:rsidRDefault="007134A2">
      <w:pPr>
        <w:pStyle w:val="Style1"/>
      </w:pPr>
      <w:r>
        <w:t xml:space="preserve">A replay of the call with the conference ID # </w:t>
      </w:r>
      <w:r w:rsidR="0085065E">
        <w:rPr>
          <w:color w:val="1A1A1A"/>
        </w:rPr>
        <w:t>67985908</w:t>
      </w:r>
      <w:r w:rsidR="00A81CB4">
        <w:t xml:space="preserve"> will be available until </w:t>
      </w:r>
      <w:r w:rsidR="0085065E">
        <w:t>August</w:t>
      </w:r>
      <w:r w:rsidR="00A81CB4">
        <w:t xml:space="preserve"> 27, 2015</w:t>
      </w:r>
      <w:r>
        <w:t xml:space="preserve"> at (855) 859-2056 or (800) 585-8367 for callers from North America and at (404) 537-3406 for all other callers.  The conference call will also be simultaneously webcast in the Investor Relations section of our corporate website at www.plantronics.com/ir, and the webcast of the conference call will remain available on our website for one month.</w:t>
      </w:r>
    </w:p>
    <w:p w14:paraId="20C9CB5F" w14:textId="77777777" w:rsidR="00811A35" w:rsidRDefault="007134A2">
      <w:pPr>
        <w:pStyle w:val="Style1"/>
      </w:pPr>
      <w:r>
        <w:t>A reconciliation between our GAAP and non-GAAP results is provided in the tables at the end of this press release.</w:t>
      </w:r>
    </w:p>
    <w:p w14:paraId="788BAC36" w14:textId="77777777" w:rsidR="00811A35" w:rsidRPr="00705839" w:rsidRDefault="007134A2">
      <w:pPr>
        <w:pStyle w:val="NormalWeb"/>
        <w:jc w:val="both"/>
        <w:rPr>
          <w:bCs/>
        </w:rPr>
      </w:pPr>
      <w:bookmarkStart w:id="5" w:name="OLE_LINK12"/>
      <w:bookmarkStart w:id="6" w:name="OLE_LINK13"/>
      <w:r w:rsidRPr="00705839">
        <w:rPr>
          <w:b/>
          <w:bCs/>
        </w:rPr>
        <w:t>Use of Non-GAAP Financial Information</w:t>
      </w:r>
    </w:p>
    <w:p w14:paraId="215A965F" w14:textId="77777777" w:rsidR="00811A35" w:rsidRDefault="00CC2A63">
      <w:pPr>
        <w:pStyle w:val="NormalWeb"/>
        <w:spacing w:before="0" w:beforeAutospacing="0" w:after="0" w:afterAutospacing="0"/>
        <w:outlineLvl w:val="0"/>
      </w:pPr>
      <w:r w:rsidRPr="00705839">
        <w:t xml:space="preserve">To supplement our condensed consolidated financial statements presented on a GAAP basis, we use non-GAAP measures of operating results, which are adjusted to exclude certain non-cash expenses and charges from non-GAAP operating income, non-GAAP operating margin and non-GAAP diluted EPS, including stock-based compensation related to stock options, restricted stock and employee stock purchases made under our employee stock purchase plan, purchase </w:t>
      </w:r>
      <w:r w:rsidRPr="00705839">
        <w:lastRenderedPageBreak/>
        <w:t>accounting amortization, accelerated depreciation, and early lease termination charges, all net of the associated tax impact, tax benefits from the release of tax reserves, transfer pricing, tax deduction and tax credit adjustments, and the impact of tax law changes.  We exclude these expenses from our non-GAAP measures primarily because Plantronics’ management does not believe they are part of our target operating model.  We believe that the use of non-GAAP financial measures provides meaningful supplemental information regarding our performance and liquidity and helps investors compare actual results with our long-term target operating model goals.  We believe that both management and investors benefit from referring to these non-GAAP financial measures in assessing our performance and when planning, forecasting and analyzing future periods; however, non-GAAP financial measures are not meant to be considered in isolation or as a substitute for, or superior to, gross margin, operating income, operating margin, net income or EPS prepared in accordance with GAAP.</w:t>
      </w:r>
    </w:p>
    <w:p w14:paraId="2B476CA4" w14:textId="77777777" w:rsidR="00CC2A63" w:rsidRPr="007134A2" w:rsidRDefault="00CC2A63">
      <w:pPr>
        <w:pStyle w:val="NormalWeb"/>
        <w:spacing w:before="0" w:beforeAutospacing="0" w:after="0" w:afterAutospacing="0"/>
        <w:outlineLvl w:val="0"/>
        <w:rPr>
          <w:rFonts w:ascii="Calibri" w:hAnsi="Calibri" w:cs="Calibri"/>
          <w:color w:val="002354"/>
          <w:sz w:val="32"/>
          <w:szCs w:val="32"/>
        </w:rPr>
      </w:pPr>
    </w:p>
    <w:p w14:paraId="6E1F96E8" w14:textId="77777777" w:rsidR="00A935A3" w:rsidRPr="00B7762E" w:rsidRDefault="00A935A3" w:rsidP="00A935A3">
      <w:pPr>
        <w:pStyle w:val="NormalWeb"/>
        <w:spacing w:before="0" w:beforeAutospacing="0" w:after="0" w:afterAutospacing="0"/>
        <w:outlineLvl w:val="0"/>
        <w:rPr>
          <w:b/>
          <w:bCs/>
        </w:rPr>
      </w:pPr>
      <w:r w:rsidRPr="00B7762E">
        <w:rPr>
          <w:b/>
          <w:bCs/>
        </w:rPr>
        <w:t>Safe Harbor</w:t>
      </w:r>
    </w:p>
    <w:p w14:paraId="4CED3F7C" w14:textId="77777777" w:rsidR="00A935A3" w:rsidRPr="00B7762E" w:rsidRDefault="00A935A3" w:rsidP="00A935A3">
      <w:pPr>
        <w:pStyle w:val="NormalWeb"/>
        <w:rPr>
          <w:color w:val="000000"/>
        </w:rPr>
      </w:pPr>
      <w:r w:rsidRPr="00B7762E">
        <w:rPr>
          <w:color w:val="000000"/>
        </w:rPr>
        <w:t xml:space="preserve">This release contains forward-looking statements within the meaning of Section 27A of the Securities Act of 1933, as amended, and Section 21E of the Securities Exchange Act of 1934, as amended, including statements relating to </w:t>
      </w:r>
      <w:r w:rsidRPr="00B7762E">
        <w:t>(</w:t>
      </w:r>
      <w:proofErr w:type="spellStart"/>
      <w:r w:rsidRPr="00B7762E">
        <w:t>i</w:t>
      </w:r>
      <w:proofErr w:type="spellEnd"/>
      <w:r w:rsidRPr="00B7762E">
        <w:t xml:space="preserve">) our estimates of GAAP and non-GAAP financial results for the </w:t>
      </w:r>
      <w:r w:rsidR="0085065E">
        <w:t>second</w:t>
      </w:r>
      <w:r>
        <w:t xml:space="preserve"> quarter of fiscal year 2016</w:t>
      </w:r>
      <w:r w:rsidRPr="00B7762E">
        <w:t>, including net revenues, operating income and diluted EPS; (</w:t>
      </w:r>
      <w:r>
        <w:t>i</w:t>
      </w:r>
      <w:r w:rsidR="00863B66">
        <w:t>i</w:t>
      </w:r>
      <w:r w:rsidRPr="00B7762E">
        <w:t xml:space="preserve">) our estimates of stock-based compensation and purchase accounting amortization and other related charges, as well as the impact of these non-cash expenses on Non-GAAP operating income and diluted EPS for the </w:t>
      </w:r>
      <w:r w:rsidR="0085065E">
        <w:t>second</w:t>
      </w:r>
      <w:r w:rsidRPr="00B7762E">
        <w:t xml:space="preserve"> quarter of fiscal year 201</w:t>
      </w:r>
      <w:r>
        <w:t>6</w:t>
      </w:r>
      <w:r w:rsidRPr="00B7762E">
        <w:t>; and (</w:t>
      </w:r>
      <w:r w:rsidR="00863B66">
        <w:t>iii</w:t>
      </w:r>
      <w:r w:rsidRPr="00B7762E">
        <w:t xml:space="preserve">) our estimate of weighted average shares outstanding for the </w:t>
      </w:r>
      <w:r w:rsidR="0085065E">
        <w:t>second</w:t>
      </w:r>
      <w:r w:rsidRPr="00B7762E">
        <w:t xml:space="preserve"> quarter of fiscal year 201</w:t>
      </w:r>
      <w:r>
        <w:t>6</w:t>
      </w:r>
      <w:r w:rsidRPr="00B7762E">
        <w:rPr>
          <w:rFonts w:ascii="Times" w:hAnsi="Times"/>
        </w:rPr>
        <w:t>,</w:t>
      </w:r>
      <w:r w:rsidRPr="00B7762E">
        <w:t xml:space="preserve"> in addition to other matters discussed in this press release that are not purely historical data.  </w:t>
      </w:r>
      <w:r w:rsidRPr="00B7762E">
        <w:rPr>
          <w:color w:val="000000"/>
        </w:rPr>
        <w:t xml:space="preserve">We do not assume any obligation to update or revise any such forward-looking statements, whether as the result of new developments or otherwise. </w:t>
      </w:r>
    </w:p>
    <w:p w14:paraId="44A965F7" w14:textId="77777777" w:rsidR="00CE6896" w:rsidRDefault="00A935A3" w:rsidP="00A935A3">
      <w:pPr>
        <w:spacing w:before="100" w:beforeAutospacing="1" w:after="100" w:afterAutospacing="1"/>
      </w:pPr>
      <w:r w:rsidRPr="00B7762E">
        <w:t>Forward-looking statements involve risks and uncertainties that may cause actual results to differ materially from those contemplated by such statements.  Among the factors that could cause actual results to differ materially from those contemplated are:</w:t>
      </w:r>
    </w:p>
    <w:p w14:paraId="31B9A07B" w14:textId="77777777" w:rsidR="00A935A3" w:rsidRPr="00B7762E" w:rsidRDefault="00A935A3" w:rsidP="00077409">
      <w:pPr>
        <w:pStyle w:val="ListParagraph"/>
        <w:numPr>
          <w:ilvl w:val="0"/>
          <w:numId w:val="15"/>
        </w:numPr>
        <w:ind w:left="720"/>
      </w:pPr>
      <w:r w:rsidRPr="00B7762E">
        <w:t xml:space="preserve">Micro and </w:t>
      </w:r>
      <w:proofErr w:type="spellStart"/>
      <w:r w:rsidRPr="00B7762E">
        <w:t>macro economic</w:t>
      </w:r>
      <w:proofErr w:type="spellEnd"/>
      <w:r w:rsidRPr="00B7762E">
        <w:t xml:space="preserve"> conditions in our domestic and international markets; </w:t>
      </w:r>
    </w:p>
    <w:p w14:paraId="394E49CE" w14:textId="77777777" w:rsidR="00A935A3" w:rsidRPr="00B7762E" w:rsidRDefault="00A935A3" w:rsidP="00077409">
      <w:pPr>
        <w:numPr>
          <w:ilvl w:val="0"/>
          <w:numId w:val="9"/>
        </w:numPr>
        <w:rPr>
          <w:rFonts w:eastAsia="MS Mincho"/>
          <w:lang w:eastAsia="ja-JP"/>
        </w:rPr>
      </w:pPr>
      <w:r w:rsidRPr="00B7762E">
        <w:t>o</w:t>
      </w:r>
      <w:r w:rsidRPr="00B7762E">
        <w:rPr>
          <w:rFonts w:eastAsia="MS Mincho"/>
          <w:lang w:eastAsia="ja-JP"/>
        </w:rPr>
        <w:t xml:space="preserve">ur ability to realize and achieve </w:t>
      </w:r>
      <w:r>
        <w:rPr>
          <w:rFonts w:eastAsia="MS Mincho"/>
          <w:lang w:eastAsia="ja-JP"/>
        </w:rPr>
        <w:t>positive</w:t>
      </w:r>
      <w:r w:rsidRPr="00B7762E">
        <w:rPr>
          <w:rFonts w:eastAsia="MS Mincho"/>
          <w:lang w:eastAsia="ja-JP"/>
        </w:rPr>
        <w:t xml:space="preserve"> financial results projected to arise from UC adoption could be adversely affected by a variety of factors including the following: (</w:t>
      </w:r>
      <w:proofErr w:type="spellStart"/>
      <w:r w:rsidRPr="00B7762E">
        <w:rPr>
          <w:rFonts w:eastAsia="MS Mincho"/>
          <w:lang w:eastAsia="ja-JP"/>
        </w:rPr>
        <w:t>i</w:t>
      </w:r>
      <w:proofErr w:type="spellEnd"/>
      <w:r w:rsidRPr="00B7762E">
        <w:rPr>
          <w:rFonts w:eastAsia="MS Mincho"/>
          <w:lang w:eastAsia="ja-JP"/>
        </w:rPr>
        <w:t xml:space="preserve">) as UC becomes more widely adopted, the risk that competitors will offer solutions that will effectively commoditize our headsets which, in turn, will reduce the sales prices for our headsets; (ii) our plans are dependent upon adoption of our UC solution by major platform providers and strategic partners such as Microsoft Corporation, Cisco Systems, Inc., Avaya, Inc., and Alcatel-Lucent, and </w:t>
      </w:r>
      <w:r>
        <w:rPr>
          <w:rFonts w:eastAsia="MS Mincho"/>
          <w:lang w:eastAsia="ja-JP"/>
        </w:rPr>
        <w:t>our</w:t>
      </w:r>
      <w:r w:rsidRPr="00B7762E">
        <w:rPr>
          <w:rFonts w:eastAsia="MS Mincho"/>
          <w:lang w:eastAsia="ja-JP"/>
        </w:rPr>
        <w:t xml:space="preserve"> influence </w:t>
      </w:r>
      <w:r>
        <w:rPr>
          <w:rFonts w:eastAsia="MS Mincho"/>
          <w:lang w:eastAsia="ja-JP"/>
        </w:rPr>
        <w:t xml:space="preserve">over </w:t>
      </w:r>
      <w:r w:rsidRPr="00B7762E">
        <w:rPr>
          <w:rFonts w:eastAsia="MS Mincho"/>
          <w:lang w:eastAsia="ja-JP"/>
        </w:rPr>
        <w:t>such providers with respect to the functionality of their platforms or their product offerings, their rate of deployment, and their willingness to integrate their platforms and product offerings with our solutions</w:t>
      </w:r>
      <w:r>
        <w:rPr>
          <w:rFonts w:eastAsia="MS Mincho"/>
          <w:lang w:eastAsia="ja-JP"/>
        </w:rPr>
        <w:t xml:space="preserve"> is limited</w:t>
      </w:r>
      <w:r w:rsidRPr="00B7762E">
        <w:t xml:space="preserve">; (iii) </w:t>
      </w:r>
      <w:r w:rsidRPr="00CB383D">
        <w:t>d</w:t>
      </w:r>
      <w:r w:rsidRPr="00B23F83">
        <w:t>elays or limitations on our ability to timely introduce solutions that are cost effective, feature-rich, stable, and attractive to our customers within forecasted development budgets</w:t>
      </w:r>
      <w:r w:rsidRPr="00B7762E">
        <w:rPr>
          <w:rFonts w:eastAsia="MS Mincho"/>
          <w:lang w:eastAsia="ja-JP"/>
        </w:rPr>
        <w:t xml:space="preserve">; (iv) </w:t>
      </w:r>
      <w:r w:rsidRPr="00B7762E">
        <w:t xml:space="preserve">our </w:t>
      </w:r>
      <w:r w:rsidRPr="00B23F83">
        <w:t xml:space="preserve">successful implementation and execution </w:t>
      </w:r>
      <w:r w:rsidR="00743442">
        <w:t xml:space="preserve">of </w:t>
      </w:r>
      <w:r w:rsidRPr="00B23F83">
        <w:t xml:space="preserve">new and different processes involving the design, development, and manufacturing of complex electronic systems composed of hardware, firmware, and software that works seamlessly </w:t>
      </w:r>
      <w:r w:rsidRPr="00B23F83">
        <w:lastRenderedPageBreak/>
        <w:t>and continuously in a wide variety of environments and with multiple devices</w:t>
      </w:r>
      <w:r w:rsidRPr="00B7762E">
        <w:t xml:space="preserve">; (v) </w:t>
      </w:r>
      <w:r w:rsidRPr="00B23F83">
        <w:t>our sales model and expertise must successfully evolve to support complex integration of hardware and software with UC infrastructure consistent with changing customer purchasing expectations</w:t>
      </w:r>
      <w:r w:rsidRPr="00B7762E">
        <w:t>; (vi)</w:t>
      </w:r>
      <w:r w:rsidRPr="00B7762E">
        <w:rPr>
          <w:rFonts w:eastAsia="MS Mincho"/>
          <w:lang w:eastAsia="ja-JP"/>
        </w:rPr>
        <w:t xml:space="preserve"> as UC becomes more widely adopted we anticipate that competition for market share will increase, </w:t>
      </w:r>
      <w:r>
        <w:rPr>
          <w:rFonts w:eastAsia="MS Mincho"/>
          <w:lang w:eastAsia="ja-JP"/>
        </w:rPr>
        <w:t>particularly given that</w:t>
      </w:r>
      <w:r w:rsidRPr="00B7762E">
        <w:rPr>
          <w:rFonts w:eastAsia="MS Mincho"/>
          <w:lang w:eastAsia="ja-JP"/>
        </w:rPr>
        <w:t xml:space="preserve"> some competitors may have superior technical and economic resources; (vii) UC solutions </w:t>
      </w:r>
      <w:r>
        <w:rPr>
          <w:rFonts w:eastAsia="MS Mincho"/>
          <w:lang w:eastAsia="ja-JP"/>
        </w:rPr>
        <w:t xml:space="preserve">generally, or our solutions in particular, </w:t>
      </w:r>
      <w:r w:rsidRPr="00B7762E">
        <w:rPr>
          <w:rFonts w:eastAsia="MS Mincho"/>
          <w:lang w:eastAsia="ja-JP"/>
        </w:rPr>
        <w:t xml:space="preserve">may not be adopted with the breadth and speed in the marketplace that we currently anticipate; (viii) </w:t>
      </w:r>
      <w:r>
        <w:rPr>
          <w:rFonts w:eastAsia="MS Mincho"/>
          <w:lang w:eastAsia="ja-JP"/>
        </w:rPr>
        <w:t xml:space="preserve">sales cycles for more complex UC deployments are longer as compared to our traditional Enterprise products; (ix) </w:t>
      </w:r>
      <w:r w:rsidRPr="00B7762E">
        <w:t>UC may evolve rapidly and unpredictably and our inability to timely and cost-effectively adapt to those changes and future requirements may impact our profitability in this market and our overall margins</w:t>
      </w:r>
      <w:r>
        <w:t xml:space="preserve">; and (x) our failure to expand our technical support capabilities to support </w:t>
      </w:r>
      <w:r w:rsidR="00297332">
        <w:t>the complex and proprietary plat</w:t>
      </w:r>
      <w:r>
        <w:t>forms in which our UC products are and will be integrated</w:t>
      </w:r>
      <w:r w:rsidRPr="00B7762E">
        <w:t>;</w:t>
      </w:r>
    </w:p>
    <w:p w14:paraId="0B722361" w14:textId="77777777" w:rsidR="00A935A3" w:rsidRPr="00B7762E" w:rsidRDefault="00A935A3" w:rsidP="00A935A3">
      <w:pPr>
        <w:numPr>
          <w:ilvl w:val="0"/>
          <w:numId w:val="9"/>
        </w:numPr>
        <w:spacing w:before="100" w:beforeAutospacing="1" w:after="360" w:afterAutospacing="1"/>
        <w:rPr>
          <w:rFonts w:eastAsia="MS Mincho"/>
          <w:lang w:eastAsia="ja-JP"/>
        </w:rPr>
      </w:pPr>
      <w:r w:rsidRPr="00B7762E">
        <w:t>f</w:t>
      </w:r>
      <w:r w:rsidRPr="00B7762E">
        <w:rPr>
          <w:rFonts w:eastAsia="MS Mincho"/>
          <w:lang w:eastAsia="ja-JP"/>
        </w:rPr>
        <w:t xml:space="preserve">ailure to match production to demand given long lead times and the difficulty of forecasting unit volumes and acquiring the component parts and materials to meet demand without having excess inventory or incurring cancellation charges; </w:t>
      </w:r>
    </w:p>
    <w:p w14:paraId="34C3F4EA" w14:textId="77777777" w:rsidR="00A935A3" w:rsidRPr="00B7762E" w:rsidRDefault="00A935A3" w:rsidP="00A935A3">
      <w:pPr>
        <w:numPr>
          <w:ilvl w:val="0"/>
          <w:numId w:val="9"/>
        </w:numPr>
        <w:spacing w:before="100" w:beforeAutospacing="1" w:after="360" w:afterAutospacing="1"/>
        <w:rPr>
          <w:rFonts w:eastAsia="MS Mincho"/>
          <w:lang w:eastAsia="ja-JP"/>
        </w:rPr>
      </w:pPr>
      <w:r w:rsidRPr="00B7762E">
        <w:rPr>
          <w:rFonts w:eastAsia="MS Mincho"/>
          <w:lang w:eastAsia="ja-JP"/>
        </w:rPr>
        <w:t xml:space="preserve">volatility in prices from our suppliers, including our manufacturers located in China, have in the past and could in the future negatively affect our profitability and/or market share; </w:t>
      </w:r>
    </w:p>
    <w:p w14:paraId="5C978315" w14:textId="77777777" w:rsidR="00A935A3" w:rsidRPr="00B7762E" w:rsidRDefault="00A935A3" w:rsidP="00A935A3">
      <w:pPr>
        <w:numPr>
          <w:ilvl w:val="0"/>
          <w:numId w:val="9"/>
        </w:numPr>
        <w:spacing w:before="100" w:beforeAutospacing="1" w:after="360" w:afterAutospacing="1"/>
        <w:rPr>
          <w:rFonts w:eastAsia="MS Mincho"/>
          <w:lang w:eastAsia="ja-JP"/>
        </w:rPr>
      </w:pPr>
      <w:r w:rsidRPr="00B7762E">
        <w:t xml:space="preserve">fluctuations in foreign exchange rates; </w:t>
      </w:r>
    </w:p>
    <w:p w14:paraId="3B8CA0CF" w14:textId="77777777" w:rsidR="00A935A3" w:rsidRPr="00B7762E" w:rsidRDefault="00A935A3" w:rsidP="00A935A3">
      <w:pPr>
        <w:numPr>
          <w:ilvl w:val="0"/>
          <w:numId w:val="9"/>
        </w:numPr>
        <w:spacing w:before="100" w:beforeAutospacing="1" w:after="360" w:afterAutospacing="1"/>
        <w:rPr>
          <w:rFonts w:eastAsia="MS Mincho"/>
          <w:lang w:eastAsia="ja-JP"/>
        </w:rPr>
      </w:pPr>
      <w:r w:rsidRPr="00B7762E">
        <w:t>with respect to our stock repurchase program, prevailing stock market conditions generally, and the price of our stock specifically;</w:t>
      </w:r>
    </w:p>
    <w:p w14:paraId="1D01F96C" w14:textId="77777777" w:rsidR="00A935A3" w:rsidRPr="00B7762E" w:rsidRDefault="00A935A3" w:rsidP="00A935A3">
      <w:pPr>
        <w:numPr>
          <w:ilvl w:val="0"/>
          <w:numId w:val="9"/>
        </w:numPr>
        <w:spacing w:before="100" w:beforeAutospacing="1" w:after="360" w:afterAutospacing="1"/>
        <w:rPr>
          <w:rFonts w:eastAsia="MS Mincho"/>
          <w:lang w:eastAsia="ja-JP"/>
        </w:rPr>
      </w:pPr>
      <w:r w:rsidRPr="00B7762E">
        <w:t xml:space="preserve">the bankruptcy or financial weakness of distributors or key customers, or the bankruptcy of or reduction in capacity of our key suppliers; </w:t>
      </w:r>
    </w:p>
    <w:p w14:paraId="6FCA5E00" w14:textId="77777777" w:rsidR="00A935A3" w:rsidRPr="00B7762E" w:rsidRDefault="00A935A3" w:rsidP="00A935A3">
      <w:pPr>
        <w:numPr>
          <w:ilvl w:val="0"/>
          <w:numId w:val="9"/>
        </w:numPr>
        <w:spacing w:before="100" w:beforeAutospacing="1" w:after="100" w:afterAutospacing="1"/>
        <w:rPr>
          <w:rFonts w:eastAsia="MS Mincho"/>
          <w:lang w:eastAsia="ja-JP"/>
        </w:rPr>
      </w:pPr>
      <w:r w:rsidRPr="00B7762E">
        <w:rPr>
          <w:rFonts w:eastAsia="MS Mincho"/>
          <w:lang w:eastAsia="ja-JP"/>
        </w:rPr>
        <w:t>additional risk factors including: interruption in the supply of sole-sourced critical components, continuity of component supply at costs consistent with our plans, and the inherent risks of our substantial foreign operations; and</w:t>
      </w:r>
    </w:p>
    <w:p w14:paraId="418527ED" w14:textId="77777777" w:rsidR="00A935A3" w:rsidRPr="00B7762E" w:rsidRDefault="00A935A3" w:rsidP="00A935A3">
      <w:pPr>
        <w:numPr>
          <w:ilvl w:val="0"/>
          <w:numId w:val="9"/>
        </w:numPr>
        <w:spacing w:before="100" w:beforeAutospacing="1" w:after="100" w:afterAutospacing="1"/>
        <w:rPr>
          <w:rFonts w:eastAsia="MS Mincho"/>
          <w:lang w:eastAsia="ja-JP"/>
        </w:rPr>
      </w:pPr>
      <w:proofErr w:type="gramStart"/>
      <w:r w:rsidRPr="00B7762E">
        <w:rPr>
          <w:rFonts w:eastAsia="MS Mincho"/>
          <w:lang w:eastAsia="ja-JP"/>
        </w:rPr>
        <w:t>seasonality</w:t>
      </w:r>
      <w:proofErr w:type="gramEnd"/>
      <w:r w:rsidRPr="00B7762E">
        <w:rPr>
          <w:rFonts w:eastAsia="MS Mincho"/>
          <w:lang w:eastAsia="ja-JP"/>
        </w:rPr>
        <w:t xml:space="preserve"> in one or more of our </w:t>
      </w:r>
      <w:r w:rsidR="00801CDC">
        <w:rPr>
          <w:rFonts w:eastAsia="MS Mincho"/>
          <w:lang w:eastAsia="ja-JP"/>
        </w:rPr>
        <w:t>product categories</w:t>
      </w:r>
      <w:r w:rsidRPr="00B7762E">
        <w:rPr>
          <w:rFonts w:eastAsia="MS Mincho"/>
          <w:lang w:eastAsia="ja-JP"/>
        </w:rPr>
        <w:t>.</w:t>
      </w:r>
    </w:p>
    <w:p w14:paraId="2C5987BD" w14:textId="77777777" w:rsidR="00A935A3" w:rsidRDefault="00A935A3">
      <w:pPr>
        <w:pStyle w:val="NormalWeb"/>
        <w:rPr>
          <w:rStyle w:val="Hyperlink"/>
        </w:rPr>
      </w:pPr>
      <w:r>
        <w:rPr>
          <w:rFonts w:eastAsia="MS Mincho"/>
          <w:lang w:eastAsia="ja-JP"/>
        </w:rPr>
        <w:t xml:space="preserve">For more information concerning these and other possible risks, please refer to our Annual Report on Form 10-K filed </w:t>
      </w:r>
      <w:r>
        <w:t>with the Securities and Exchange Commission on</w:t>
      </w:r>
      <w:r w:rsidR="00532E36">
        <w:rPr>
          <w:rFonts w:eastAsia="MS Mincho"/>
          <w:lang w:eastAsia="ja-JP"/>
        </w:rPr>
        <w:t xml:space="preserve"> May 15, 2015</w:t>
      </w:r>
      <w:r>
        <w:t xml:space="preserve"> and other filings with the Securities and Exchange Commission, as well as recent press releases.  The Securities and Exchange Commission filings can be accessed over the Internet at </w:t>
      </w:r>
      <w:hyperlink r:id="rId13" w:history="1">
        <w:r>
          <w:rPr>
            <w:rStyle w:val="Hyperlink"/>
          </w:rPr>
          <w:t>http://www.sec.gov/edgar/searchedgar/companysearch.html</w:t>
        </w:r>
      </w:hyperlink>
    </w:p>
    <w:p w14:paraId="01B932EF" w14:textId="77777777" w:rsidR="00811A35" w:rsidRDefault="007134A2">
      <w:pPr>
        <w:pStyle w:val="NormalWeb"/>
      </w:pPr>
      <w:r>
        <w:rPr>
          <w:rStyle w:val="Strong"/>
        </w:rPr>
        <w:t xml:space="preserve">Financial Summaries </w:t>
      </w:r>
    </w:p>
    <w:p w14:paraId="38E3A310" w14:textId="77777777" w:rsidR="00811A35" w:rsidRDefault="007134A2">
      <w:pPr>
        <w:pStyle w:val="NormalWeb"/>
      </w:pPr>
      <w:r>
        <w:t>The following related charts are provided:</w:t>
      </w:r>
    </w:p>
    <w:p w14:paraId="0FF3650D" w14:textId="77777777" w:rsidR="00811A35" w:rsidRDefault="007134A2">
      <w:pPr>
        <w:numPr>
          <w:ilvl w:val="0"/>
          <w:numId w:val="10"/>
        </w:numPr>
        <w:spacing w:before="100" w:beforeAutospacing="1" w:after="100" w:afterAutospacing="1"/>
      </w:pPr>
      <w:r>
        <w:t xml:space="preserve">Summary Unaudited Condensed Consolidated Financial Statements </w:t>
      </w:r>
    </w:p>
    <w:p w14:paraId="07784BBD" w14:textId="77777777" w:rsidR="00811A35" w:rsidRDefault="007134A2">
      <w:pPr>
        <w:numPr>
          <w:ilvl w:val="0"/>
          <w:numId w:val="10"/>
        </w:numPr>
        <w:spacing w:before="100" w:beforeAutospacing="1" w:after="100" w:afterAutospacing="1"/>
      </w:pPr>
      <w:r>
        <w:t>Unaudited Reconciliations of GAAP Measures to Non-GAAP Measures</w:t>
      </w:r>
    </w:p>
    <w:p w14:paraId="2CFE44FD" w14:textId="77777777" w:rsidR="00811A35" w:rsidRDefault="007134A2">
      <w:pPr>
        <w:numPr>
          <w:ilvl w:val="0"/>
          <w:numId w:val="10"/>
        </w:numPr>
      </w:pPr>
      <w:r>
        <w:t>Summary of Unaudited Reconciliations of GAAP Measures to Non-GAAP Measures and Other Unaudited GAAP Data</w:t>
      </w:r>
    </w:p>
    <w:p w14:paraId="31A961A6" w14:textId="77777777" w:rsidR="00811A35" w:rsidRDefault="00811A35">
      <w:bookmarkStart w:id="7" w:name="OLE_LINK3"/>
      <w:bookmarkStart w:id="8" w:name="OLE_LINK4"/>
    </w:p>
    <w:p w14:paraId="4A13D893" w14:textId="77777777" w:rsidR="00811A35" w:rsidRDefault="007134A2">
      <w:pPr>
        <w:widowControl w:val="0"/>
        <w:autoSpaceDE w:val="0"/>
        <w:autoSpaceDN w:val="0"/>
        <w:adjustRightInd w:val="0"/>
        <w:rPr>
          <w:rFonts w:cs="Calibri"/>
          <w:b/>
          <w:bCs/>
          <w:szCs w:val="30"/>
        </w:rPr>
      </w:pPr>
      <w:r>
        <w:rPr>
          <w:rFonts w:cs="Calibri"/>
          <w:b/>
          <w:bCs/>
          <w:szCs w:val="30"/>
        </w:rPr>
        <w:t>About Plantronics</w:t>
      </w:r>
    </w:p>
    <w:p w14:paraId="76684CE0" w14:textId="77777777" w:rsidR="00811A35" w:rsidRDefault="00811A35">
      <w:pPr>
        <w:widowControl w:val="0"/>
        <w:autoSpaceDE w:val="0"/>
        <w:autoSpaceDN w:val="0"/>
        <w:adjustRightInd w:val="0"/>
        <w:rPr>
          <w:rFonts w:cs="Calibri"/>
          <w:szCs w:val="30"/>
        </w:rPr>
      </w:pPr>
    </w:p>
    <w:p w14:paraId="1A5A2689" w14:textId="77777777" w:rsidR="00811A35" w:rsidRDefault="007134A2">
      <w:pPr>
        <w:rPr>
          <w:rFonts w:cs="Calibri"/>
          <w:szCs w:val="30"/>
        </w:rPr>
      </w:pPr>
      <w:r>
        <w:rPr>
          <w:rFonts w:cs="Calibri"/>
          <w:szCs w:val="30"/>
        </w:rPr>
        <w:lastRenderedPageBreak/>
        <w:t xml:space="preserve">Plantronics is a global leader in audio communications for businesses and consumers.  We have pioneered new trends in audio technology for over 50 years, creating innovative products that allow people </w:t>
      </w:r>
      <w:r>
        <w:rPr>
          <w:rFonts w:cs="Calibri"/>
          <w:szCs w:val="30"/>
          <w:u w:val="single"/>
        </w:rPr>
        <w:t>to simply communicate</w:t>
      </w:r>
      <w:r>
        <w:rPr>
          <w:rFonts w:cs="Calibri"/>
          <w:szCs w:val="30"/>
        </w:rPr>
        <w:t xml:space="preserve">.  From Unified Communication solutions to </w:t>
      </w:r>
      <w:r>
        <w:rPr>
          <w:rFonts w:cs="Calibri"/>
          <w:i/>
          <w:szCs w:val="30"/>
        </w:rPr>
        <w:t>Bluetooth</w:t>
      </w:r>
      <w:r>
        <w:rPr>
          <w:rFonts w:cs="Calibri"/>
          <w:szCs w:val="30"/>
        </w:rPr>
        <w:t xml:space="preserve"> headsets, we deliver uncompromising quality, an ideal experience, and extraordinary service. Plantronics is used by every company in the Fortune 100, as well as 911 dispatch, air traffic control and the New York Stock Exchange.  For more information, please visit </w:t>
      </w:r>
      <w:hyperlink r:id="rId14" w:history="1">
        <w:r>
          <w:rPr>
            <w:rFonts w:cs="Calibri"/>
            <w:szCs w:val="30"/>
          </w:rPr>
          <w:t>www.plantronics.com</w:t>
        </w:r>
      </w:hyperlink>
      <w:r>
        <w:rPr>
          <w:rFonts w:cs="Calibri"/>
          <w:szCs w:val="30"/>
        </w:rPr>
        <w:t xml:space="preserve"> or call (800) 544-4660.</w:t>
      </w:r>
    </w:p>
    <w:p w14:paraId="0F8524AC" w14:textId="77777777" w:rsidR="00811A35" w:rsidRDefault="00811A35"/>
    <w:p w14:paraId="01DC983B" w14:textId="77777777" w:rsidR="00811A35" w:rsidRDefault="007134A2">
      <w:pPr>
        <w:shd w:val="clear" w:color="auto" w:fill="FFFFFF"/>
        <w:spacing w:before="100" w:beforeAutospacing="1" w:after="100" w:afterAutospacing="1"/>
        <w:rPr>
          <w:rFonts w:eastAsia="MS Mincho"/>
          <w:sz w:val="20"/>
          <w:szCs w:val="20"/>
          <w:lang w:eastAsia="ja-JP"/>
        </w:rPr>
      </w:pPr>
      <w:bookmarkStart w:id="9" w:name="OLE_LINK18"/>
      <w:bookmarkStart w:id="10" w:name="OLE_LINK19"/>
      <w:bookmarkEnd w:id="1"/>
      <w:bookmarkEnd w:id="2"/>
      <w:bookmarkEnd w:id="3"/>
      <w:bookmarkEnd w:id="4"/>
      <w:bookmarkEnd w:id="5"/>
      <w:bookmarkEnd w:id="6"/>
      <w:bookmarkEnd w:id="7"/>
      <w:bookmarkEnd w:id="8"/>
      <w:r>
        <w:rPr>
          <w:rFonts w:eastAsia="MS Mincho"/>
          <w:sz w:val="20"/>
          <w:szCs w:val="20"/>
          <w:lang w:eastAsia="ja-JP"/>
        </w:rPr>
        <w:t xml:space="preserve">Plantronics and the logo design are trademarks or registered trademarks of Plantronics, Inc.  The </w:t>
      </w:r>
      <w:r>
        <w:rPr>
          <w:rFonts w:eastAsia="MS Mincho"/>
          <w:i/>
          <w:sz w:val="20"/>
          <w:szCs w:val="20"/>
          <w:lang w:eastAsia="ja-JP"/>
        </w:rPr>
        <w:t>Bluetooth</w:t>
      </w:r>
      <w:r>
        <w:rPr>
          <w:rFonts w:eastAsia="MS Mincho"/>
          <w:sz w:val="20"/>
          <w:szCs w:val="20"/>
          <w:lang w:eastAsia="ja-JP"/>
        </w:rPr>
        <w:t xml:space="preserve"> name and the </w:t>
      </w:r>
      <w:r>
        <w:rPr>
          <w:rFonts w:eastAsia="MS Mincho"/>
          <w:i/>
          <w:sz w:val="20"/>
          <w:szCs w:val="20"/>
          <w:lang w:eastAsia="ja-JP"/>
        </w:rPr>
        <w:t>Bluetooth</w:t>
      </w:r>
      <w:r>
        <w:rPr>
          <w:rFonts w:eastAsia="MS Mincho"/>
          <w:sz w:val="20"/>
          <w:szCs w:val="20"/>
          <w:lang w:eastAsia="ja-JP"/>
        </w:rPr>
        <w:t xml:space="preserve"> trademarks are owned by </w:t>
      </w:r>
      <w:r>
        <w:rPr>
          <w:rFonts w:eastAsia="MS Mincho"/>
          <w:i/>
          <w:sz w:val="20"/>
          <w:szCs w:val="20"/>
          <w:lang w:eastAsia="ja-JP"/>
        </w:rPr>
        <w:t>Bluetooth</w:t>
      </w:r>
      <w:r>
        <w:rPr>
          <w:rFonts w:eastAsia="MS Mincho"/>
          <w:sz w:val="20"/>
          <w:szCs w:val="20"/>
          <w:lang w:eastAsia="ja-JP"/>
        </w:rPr>
        <w:t xml:space="preserve"> SIG, Inc. and are used by Plantronics, Inc. under license.  All other trademarks are the property of their respective owners.  </w:t>
      </w:r>
    </w:p>
    <w:bookmarkEnd w:id="9"/>
    <w:bookmarkEnd w:id="10"/>
    <w:p w14:paraId="06C8B653" w14:textId="77777777" w:rsidR="00811A35" w:rsidRDefault="00811A35">
      <w:pPr>
        <w:pStyle w:val="NormalWeb"/>
      </w:pPr>
    </w:p>
    <w:sectPr w:rsidR="00811A35">
      <w:headerReference w:type="default" r:id="rId15"/>
      <w:footerReference w:type="default" r:id="rId16"/>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C7EE" w14:textId="77777777" w:rsidR="00D94B37" w:rsidRDefault="00D94B37">
      <w:r>
        <w:separator/>
      </w:r>
    </w:p>
  </w:endnote>
  <w:endnote w:type="continuationSeparator" w:id="0">
    <w:p w14:paraId="44FDCCB9" w14:textId="77777777" w:rsidR="00D94B37" w:rsidRDefault="00D9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C9EB" w14:textId="77777777" w:rsidR="003A6FAA" w:rsidRDefault="003A6FAA">
    <w:pPr>
      <w:widowControl w:val="0"/>
      <w:autoSpaceDE w:val="0"/>
      <w:autoSpaceDN w:val="0"/>
      <w:adjustRightInd w:val="0"/>
      <w:rPr>
        <w:rFonts w:ascii="serif" w:hAnsi="serif" w:cs="serif"/>
        <w:color w:val="000000"/>
        <w:sz w:val="20"/>
        <w:szCs w:val="20"/>
      </w:rPr>
    </w:pPr>
    <w:r>
      <w:rPr>
        <w:color w:val="000000"/>
        <w:sz w:val="16"/>
        <w:szCs w:val="16"/>
      </w:rPr>
      <w:t xml:space="preserve">PLANTRONICS, INC. / 345 </w:t>
    </w:r>
    <w:proofErr w:type="spellStart"/>
    <w:r>
      <w:rPr>
        <w:color w:val="000000"/>
        <w:sz w:val="16"/>
        <w:szCs w:val="16"/>
      </w:rPr>
      <w:t>Encinal</w:t>
    </w:r>
    <w:proofErr w:type="spellEnd"/>
    <w:r>
      <w:rPr>
        <w:color w:val="000000"/>
        <w:sz w:val="16"/>
        <w:szCs w:val="16"/>
      </w:rPr>
      <w:t xml:space="preserve"> Street / P.O. Box 1802 / Santa Cruz, California 95061-1802 </w:t>
    </w:r>
  </w:p>
  <w:p w14:paraId="0290EB35" w14:textId="77777777" w:rsidR="003A6FAA" w:rsidRDefault="003A6FAA">
    <w:pPr>
      <w:widowControl w:val="0"/>
      <w:autoSpaceDE w:val="0"/>
      <w:autoSpaceDN w:val="0"/>
      <w:adjustRightInd w:val="0"/>
      <w:rPr>
        <w:rFonts w:ascii="serif" w:hAnsi="serif" w:cs="serif"/>
        <w:color w:val="000000"/>
        <w:sz w:val="20"/>
        <w:szCs w:val="20"/>
      </w:rPr>
    </w:pPr>
    <w:r>
      <w:rPr>
        <w:color w:val="000000"/>
        <w:sz w:val="16"/>
        <w:szCs w:val="16"/>
      </w:rPr>
      <w:t>831-426-6060 / Fax 831-426-6098</w:t>
    </w:r>
  </w:p>
  <w:p w14:paraId="0C9BF187" w14:textId="77777777" w:rsidR="003A6FAA" w:rsidRDefault="003A6FAA">
    <w:pPr>
      <w:widowControl w:val="0"/>
      <w:autoSpaceDE w:val="0"/>
      <w:autoSpaceDN w:val="0"/>
      <w:adjustRightInd w:val="0"/>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47603" w14:textId="77777777" w:rsidR="00D94B37" w:rsidRDefault="00D94B37">
      <w:r>
        <w:separator/>
      </w:r>
    </w:p>
  </w:footnote>
  <w:footnote w:type="continuationSeparator" w:id="0">
    <w:p w14:paraId="12CC3A84" w14:textId="77777777" w:rsidR="00D94B37" w:rsidRDefault="00D9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75AE" w14:textId="77777777" w:rsidR="003A6FAA" w:rsidRDefault="003A6FAA">
    <w:pPr>
      <w:widowControl w:val="0"/>
      <w:autoSpaceDE w:val="0"/>
      <w:autoSpaceDN w:val="0"/>
      <w:adjustRightInd w:val="0"/>
      <w:rPr>
        <w:rFonts w:ascii="Times" w:hAnsi="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737F2"/>
    <w:multiLevelType w:val="hybridMultilevel"/>
    <w:tmpl w:val="E60CD75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C026C03"/>
    <w:multiLevelType w:val="multilevel"/>
    <w:tmpl w:val="F8DC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A7B32"/>
    <w:multiLevelType w:val="multilevel"/>
    <w:tmpl w:val="10E8E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603617"/>
    <w:multiLevelType w:val="multilevel"/>
    <w:tmpl w:val="890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16F8"/>
    <w:multiLevelType w:val="hybridMultilevel"/>
    <w:tmpl w:val="AF96A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E23B4"/>
    <w:multiLevelType w:val="multilevel"/>
    <w:tmpl w:val="ADEE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85CD9"/>
    <w:multiLevelType w:val="multilevel"/>
    <w:tmpl w:val="7328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633439"/>
    <w:multiLevelType w:val="multilevel"/>
    <w:tmpl w:val="3EF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567A7"/>
    <w:multiLevelType w:val="hybridMultilevel"/>
    <w:tmpl w:val="A1EC8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F97C26"/>
    <w:multiLevelType w:val="hybridMultilevel"/>
    <w:tmpl w:val="ED58E74C"/>
    <w:lvl w:ilvl="0" w:tplc="457C077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D5EEADE0" w:tentative="1">
      <w:start w:val="1"/>
      <w:numFmt w:val="bullet"/>
      <w:lvlText w:val=""/>
      <w:lvlJc w:val="left"/>
      <w:pPr>
        <w:tabs>
          <w:tab w:val="num" w:pos="2160"/>
        </w:tabs>
        <w:ind w:left="2160" w:hanging="360"/>
      </w:pPr>
      <w:rPr>
        <w:rFonts w:ascii="Wingdings" w:hAnsi="Wingdings" w:hint="default"/>
        <w:sz w:val="20"/>
      </w:rPr>
    </w:lvl>
    <w:lvl w:ilvl="3" w:tplc="EDE2AD86" w:tentative="1">
      <w:start w:val="1"/>
      <w:numFmt w:val="bullet"/>
      <w:lvlText w:val=""/>
      <w:lvlJc w:val="left"/>
      <w:pPr>
        <w:tabs>
          <w:tab w:val="num" w:pos="2880"/>
        </w:tabs>
        <w:ind w:left="2880" w:hanging="360"/>
      </w:pPr>
      <w:rPr>
        <w:rFonts w:ascii="Wingdings" w:hAnsi="Wingdings" w:hint="default"/>
        <w:sz w:val="20"/>
      </w:rPr>
    </w:lvl>
    <w:lvl w:ilvl="4" w:tplc="75723A16" w:tentative="1">
      <w:start w:val="1"/>
      <w:numFmt w:val="bullet"/>
      <w:lvlText w:val=""/>
      <w:lvlJc w:val="left"/>
      <w:pPr>
        <w:tabs>
          <w:tab w:val="num" w:pos="3600"/>
        </w:tabs>
        <w:ind w:left="3600" w:hanging="360"/>
      </w:pPr>
      <w:rPr>
        <w:rFonts w:ascii="Wingdings" w:hAnsi="Wingdings" w:hint="default"/>
        <w:sz w:val="20"/>
      </w:rPr>
    </w:lvl>
    <w:lvl w:ilvl="5" w:tplc="AC8E74AE" w:tentative="1">
      <w:start w:val="1"/>
      <w:numFmt w:val="bullet"/>
      <w:lvlText w:val=""/>
      <w:lvlJc w:val="left"/>
      <w:pPr>
        <w:tabs>
          <w:tab w:val="num" w:pos="4320"/>
        </w:tabs>
        <w:ind w:left="4320" w:hanging="360"/>
      </w:pPr>
      <w:rPr>
        <w:rFonts w:ascii="Wingdings" w:hAnsi="Wingdings" w:hint="default"/>
        <w:sz w:val="20"/>
      </w:rPr>
    </w:lvl>
    <w:lvl w:ilvl="6" w:tplc="94086846" w:tentative="1">
      <w:start w:val="1"/>
      <w:numFmt w:val="bullet"/>
      <w:lvlText w:val=""/>
      <w:lvlJc w:val="left"/>
      <w:pPr>
        <w:tabs>
          <w:tab w:val="num" w:pos="5040"/>
        </w:tabs>
        <w:ind w:left="5040" w:hanging="360"/>
      </w:pPr>
      <w:rPr>
        <w:rFonts w:ascii="Wingdings" w:hAnsi="Wingdings" w:hint="default"/>
        <w:sz w:val="20"/>
      </w:rPr>
    </w:lvl>
    <w:lvl w:ilvl="7" w:tplc="B4D262D4" w:tentative="1">
      <w:start w:val="1"/>
      <w:numFmt w:val="bullet"/>
      <w:lvlText w:val=""/>
      <w:lvlJc w:val="left"/>
      <w:pPr>
        <w:tabs>
          <w:tab w:val="num" w:pos="5760"/>
        </w:tabs>
        <w:ind w:left="5760" w:hanging="360"/>
      </w:pPr>
      <w:rPr>
        <w:rFonts w:ascii="Wingdings" w:hAnsi="Wingdings" w:hint="default"/>
        <w:sz w:val="20"/>
      </w:rPr>
    </w:lvl>
    <w:lvl w:ilvl="8" w:tplc="FB1E4B3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56356"/>
    <w:multiLevelType w:val="multilevel"/>
    <w:tmpl w:val="2BF6D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681F3F"/>
    <w:multiLevelType w:val="hybridMultilevel"/>
    <w:tmpl w:val="06E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12C5D"/>
    <w:multiLevelType w:val="hybridMultilevel"/>
    <w:tmpl w:val="95F6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3"/>
  </w:num>
  <w:num w:numId="8">
    <w:abstractNumId w:val="2"/>
  </w:num>
  <w:num w:numId="9">
    <w:abstractNumId w:val="8"/>
  </w:num>
  <w:num w:numId="10">
    <w:abstractNumId w:val="4"/>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35"/>
    <w:rsid w:val="00004548"/>
    <w:rsid w:val="00012742"/>
    <w:rsid w:val="0005478F"/>
    <w:rsid w:val="00077409"/>
    <w:rsid w:val="00092045"/>
    <w:rsid w:val="00092E9E"/>
    <w:rsid w:val="000B185B"/>
    <w:rsid w:val="000C0A8F"/>
    <w:rsid w:val="000C3828"/>
    <w:rsid w:val="000C688D"/>
    <w:rsid w:val="000E1E55"/>
    <w:rsid w:val="000F09E5"/>
    <w:rsid w:val="000F1757"/>
    <w:rsid w:val="000F1DC6"/>
    <w:rsid w:val="00115303"/>
    <w:rsid w:val="00125742"/>
    <w:rsid w:val="0014386A"/>
    <w:rsid w:val="0015035A"/>
    <w:rsid w:val="001859B0"/>
    <w:rsid w:val="001A0539"/>
    <w:rsid w:val="001B22B4"/>
    <w:rsid w:val="001B2E83"/>
    <w:rsid w:val="001C710D"/>
    <w:rsid w:val="001D01AE"/>
    <w:rsid w:val="00264154"/>
    <w:rsid w:val="002763ED"/>
    <w:rsid w:val="00283092"/>
    <w:rsid w:val="00297332"/>
    <w:rsid w:val="002A242E"/>
    <w:rsid w:val="002B113E"/>
    <w:rsid w:val="002C7C3D"/>
    <w:rsid w:val="002D6A00"/>
    <w:rsid w:val="002E1976"/>
    <w:rsid w:val="00316B31"/>
    <w:rsid w:val="00324F6B"/>
    <w:rsid w:val="00352533"/>
    <w:rsid w:val="00364C6B"/>
    <w:rsid w:val="003832EB"/>
    <w:rsid w:val="0038482F"/>
    <w:rsid w:val="00390B9B"/>
    <w:rsid w:val="00395DBB"/>
    <w:rsid w:val="003A64D5"/>
    <w:rsid w:val="003A6974"/>
    <w:rsid w:val="003A6FAA"/>
    <w:rsid w:val="0040244E"/>
    <w:rsid w:val="00455329"/>
    <w:rsid w:val="004917B8"/>
    <w:rsid w:val="00496511"/>
    <w:rsid w:val="004A770C"/>
    <w:rsid w:val="004F4490"/>
    <w:rsid w:val="00502B7E"/>
    <w:rsid w:val="005321B5"/>
    <w:rsid w:val="00532E36"/>
    <w:rsid w:val="005465CE"/>
    <w:rsid w:val="00546A11"/>
    <w:rsid w:val="00575C82"/>
    <w:rsid w:val="00590CF8"/>
    <w:rsid w:val="005B26DD"/>
    <w:rsid w:val="005B4566"/>
    <w:rsid w:val="00650FBE"/>
    <w:rsid w:val="00662E30"/>
    <w:rsid w:val="00685DE4"/>
    <w:rsid w:val="006961AF"/>
    <w:rsid w:val="006E260A"/>
    <w:rsid w:val="006F355B"/>
    <w:rsid w:val="006F6343"/>
    <w:rsid w:val="006F76FC"/>
    <w:rsid w:val="00705839"/>
    <w:rsid w:val="007134A2"/>
    <w:rsid w:val="00740668"/>
    <w:rsid w:val="0074246A"/>
    <w:rsid w:val="00743442"/>
    <w:rsid w:val="0079685C"/>
    <w:rsid w:val="007A4612"/>
    <w:rsid w:val="007A5BA3"/>
    <w:rsid w:val="007D28CE"/>
    <w:rsid w:val="00801CDC"/>
    <w:rsid w:val="00807628"/>
    <w:rsid w:val="00811A35"/>
    <w:rsid w:val="00813DAD"/>
    <w:rsid w:val="00814080"/>
    <w:rsid w:val="00821772"/>
    <w:rsid w:val="0085065E"/>
    <w:rsid w:val="00863B66"/>
    <w:rsid w:val="008822FD"/>
    <w:rsid w:val="00890D1B"/>
    <w:rsid w:val="008B5294"/>
    <w:rsid w:val="008C4736"/>
    <w:rsid w:val="008D4B87"/>
    <w:rsid w:val="00910E99"/>
    <w:rsid w:val="009135DD"/>
    <w:rsid w:val="009554D8"/>
    <w:rsid w:val="00971124"/>
    <w:rsid w:val="00972C6B"/>
    <w:rsid w:val="00986C24"/>
    <w:rsid w:val="00987795"/>
    <w:rsid w:val="00997468"/>
    <w:rsid w:val="009D26E4"/>
    <w:rsid w:val="00A05DA2"/>
    <w:rsid w:val="00A11520"/>
    <w:rsid w:val="00A1689C"/>
    <w:rsid w:val="00A52F2C"/>
    <w:rsid w:val="00A77106"/>
    <w:rsid w:val="00A81CB4"/>
    <w:rsid w:val="00A935A3"/>
    <w:rsid w:val="00A96F25"/>
    <w:rsid w:val="00AB1858"/>
    <w:rsid w:val="00AB30EA"/>
    <w:rsid w:val="00AC6EE6"/>
    <w:rsid w:val="00B039F3"/>
    <w:rsid w:val="00B04C88"/>
    <w:rsid w:val="00B07E5D"/>
    <w:rsid w:val="00B12F9C"/>
    <w:rsid w:val="00B26B89"/>
    <w:rsid w:val="00B43823"/>
    <w:rsid w:val="00B44C1A"/>
    <w:rsid w:val="00B66898"/>
    <w:rsid w:val="00B703D1"/>
    <w:rsid w:val="00B818AA"/>
    <w:rsid w:val="00BB00CD"/>
    <w:rsid w:val="00C10903"/>
    <w:rsid w:val="00C3242A"/>
    <w:rsid w:val="00C44886"/>
    <w:rsid w:val="00C75059"/>
    <w:rsid w:val="00CA2ADA"/>
    <w:rsid w:val="00CC2A63"/>
    <w:rsid w:val="00CE6896"/>
    <w:rsid w:val="00CE7A66"/>
    <w:rsid w:val="00CF69F2"/>
    <w:rsid w:val="00D1049E"/>
    <w:rsid w:val="00D115BD"/>
    <w:rsid w:val="00D358AD"/>
    <w:rsid w:val="00D73552"/>
    <w:rsid w:val="00D94B37"/>
    <w:rsid w:val="00DC38B9"/>
    <w:rsid w:val="00DD165C"/>
    <w:rsid w:val="00DD19F2"/>
    <w:rsid w:val="00DF1804"/>
    <w:rsid w:val="00E142EA"/>
    <w:rsid w:val="00E1635C"/>
    <w:rsid w:val="00E26EB0"/>
    <w:rsid w:val="00E40733"/>
    <w:rsid w:val="00E45CDF"/>
    <w:rsid w:val="00E460AF"/>
    <w:rsid w:val="00E60A5C"/>
    <w:rsid w:val="00EB2F73"/>
    <w:rsid w:val="00EC609A"/>
    <w:rsid w:val="00ED5A9A"/>
    <w:rsid w:val="00ED6C6A"/>
    <w:rsid w:val="00EE591E"/>
    <w:rsid w:val="00EE756F"/>
    <w:rsid w:val="00F02D96"/>
    <w:rsid w:val="00F2491B"/>
    <w:rsid w:val="00F87080"/>
    <w:rsid w:val="00F9491E"/>
    <w:rsid w:val="00FB7585"/>
    <w:rsid w:val="00FC08E6"/>
    <w:rsid w:val="00FC1BC8"/>
    <w:rsid w:val="00FC7749"/>
    <w:rsid w:val="00FD1E62"/>
    <w:rsid w:val="00FD7A25"/>
    <w:rsid w:val="00FE2CB4"/>
    <w:rsid w:val="00FE4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E43F1"/>
  <w15:docId w15:val="{AF1BD2F9-7E69-4A03-99BA-2AF17B1E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NormalWeb">
    <w:name w:val="Normal (Web)"/>
    <w:basedOn w:val="Normal"/>
    <w:link w:val="NormalWebChar"/>
    <w:uiPriority w:val="99"/>
    <w:pPr>
      <w:spacing w:before="100" w:beforeAutospacing="1" w:after="100" w:afterAutospacing="1"/>
    </w:p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spacing w:before="120" w:after="240"/>
      <w:jc w:val="center"/>
    </w:pPr>
    <w:rPr>
      <w:b/>
      <w:color w:val="000000"/>
      <w:sz w:val="28"/>
      <w:szCs w:val="28"/>
    </w:rPr>
  </w:style>
  <w:style w:type="character" w:customStyle="1" w:styleId="BodyText2Char">
    <w:name w:val="Body Text 2 Char"/>
    <w:basedOn w:val="DefaultParagraphFont"/>
    <w:link w:val="BodyText2"/>
    <w:uiPriority w:val="99"/>
    <w:locked/>
    <w:rPr>
      <w:rFonts w:cs="Times New Roman"/>
      <w:sz w:val="24"/>
      <w:szCs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Style1">
    <w:name w:val="Style1"/>
    <w:basedOn w:val="NormalWeb"/>
    <w:link w:val="Style1Char"/>
    <w:uiPriority w:val="99"/>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customStyle="1" w:styleId="NormalWebChar">
    <w:name w:val="Normal (Web) Char"/>
    <w:basedOn w:val="DefaultParagraphFont"/>
    <w:link w:val="NormalWeb"/>
    <w:uiPriority w:val="99"/>
    <w:locked/>
    <w:rPr>
      <w:rFonts w:cs="Times New Roman"/>
      <w:sz w:val="24"/>
      <w:szCs w:val="24"/>
    </w:rPr>
  </w:style>
  <w:style w:type="character" w:customStyle="1" w:styleId="Style1Char">
    <w:name w:val="Style1 Char"/>
    <w:basedOn w:val="NormalWebChar"/>
    <w:link w:val="Style1"/>
    <w:uiPriority w:val="99"/>
    <w:locked/>
    <w:rPr>
      <w:rFonts w:cs="Times New Roman"/>
      <w:sz w:val="24"/>
      <w:szCs w:val="24"/>
    </w:rPr>
  </w:style>
  <w:style w:type="character" w:styleId="Strong">
    <w:name w:val="Strong"/>
    <w:basedOn w:val="DefaultParagraphFont"/>
    <w:uiPriority w:val="99"/>
    <w:qFormat/>
    <w:rPr>
      <w:rFonts w:cs="Times New Roman"/>
      <w:b/>
      <w:bCs/>
    </w:rPr>
  </w:style>
  <w:style w:type="paragraph" w:customStyle="1" w:styleId="style10">
    <w:name w:val="style1"/>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4873">
      <w:bodyDiv w:val="1"/>
      <w:marLeft w:val="0"/>
      <w:marRight w:val="0"/>
      <w:marTop w:val="0"/>
      <w:marBottom w:val="0"/>
      <w:divBdr>
        <w:top w:val="none" w:sz="0" w:space="0" w:color="auto"/>
        <w:left w:val="none" w:sz="0" w:space="0" w:color="auto"/>
        <w:bottom w:val="none" w:sz="0" w:space="0" w:color="auto"/>
        <w:right w:val="none" w:sz="0" w:space="0" w:color="auto"/>
      </w:divBdr>
    </w:div>
    <w:div w:id="1207990247">
      <w:bodyDiv w:val="1"/>
      <w:marLeft w:val="0"/>
      <w:marRight w:val="0"/>
      <w:marTop w:val="0"/>
      <w:marBottom w:val="0"/>
      <w:divBdr>
        <w:top w:val="none" w:sz="0" w:space="0" w:color="auto"/>
        <w:left w:val="none" w:sz="0" w:space="0" w:color="auto"/>
        <w:bottom w:val="none" w:sz="0" w:space="0" w:color="auto"/>
        <w:right w:val="none" w:sz="0" w:space="0" w:color="auto"/>
      </w:divBdr>
    </w:div>
    <w:div w:id="1217156218">
      <w:bodyDiv w:val="1"/>
      <w:marLeft w:val="0"/>
      <w:marRight w:val="0"/>
      <w:marTop w:val="0"/>
      <w:marBottom w:val="0"/>
      <w:divBdr>
        <w:top w:val="none" w:sz="0" w:space="0" w:color="auto"/>
        <w:left w:val="none" w:sz="0" w:space="0" w:color="auto"/>
        <w:bottom w:val="none" w:sz="0" w:space="0" w:color="auto"/>
        <w:right w:val="none" w:sz="0" w:space="0" w:color="auto"/>
      </w:divBdr>
    </w:div>
    <w:div w:id="1548175696">
      <w:marLeft w:val="0"/>
      <w:marRight w:val="0"/>
      <w:marTop w:val="0"/>
      <w:marBottom w:val="0"/>
      <w:divBdr>
        <w:top w:val="none" w:sz="0" w:space="0" w:color="auto"/>
        <w:left w:val="none" w:sz="0" w:space="0" w:color="auto"/>
        <w:bottom w:val="none" w:sz="0" w:space="0" w:color="auto"/>
        <w:right w:val="none" w:sz="0" w:space="0" w:color="auto"/>
      </w:divBdr>
    </w:div>
    <w:div w:id="1548175697">
      <w:marLeft w:val="0"/>
      <w:marRight w:val="0"/>
      <w:marTop w:val="0"/>
      <w:marBottom w:val="0"/>
      <w:divBdr>
        <w:top w:val="none" w:sz="0" w:space="0" w:color="auto"/>
        <w:left w:val="none" w:sz="0" w:space="0" w:color="auto"/>
        <w:bottom w:val="none" w:sz="0" w:space="0" w:color="auto"/>
        <w:right w:val="none" w:sz="0" w:space="0" w:color="auto"/>
      </w:divBdr>
    </w:div>
    <w:div w:id="1548175698">
      <w:marLeft w:val="0"/>
      <w:marRight w:val="0"/>
      <w:marTop w:val="0"/>
      <w:marBottom w:val="0"/>
      <w:divBdr>
        <w:top w:val="none" w:sz="0" w:space="0" w:color="auto"/>
        <w:left w:val="none" w:sz="0" w:space="0" w:color="auto"/>
        <w:bottom w:val="none" w:sz="0" w:space="0" w:color="auto"/>
        <w:right w:val="none" w:sz="0" w:space="0" w:color="auto"/>
      </w:divBdr>
    </w:div>
    <w:div w:id="1548175699">
      <w:marLeft w:val="0"/>
      <w:marRight w:val="0"/>
      <w:marTop w:val="0"/>
      <w:marBottom w:val="0"/>
      <w:divBdr>
        <w:top w:val="none" w:sz="0" w:space="0" w:color="auto"/>
        <w:left w:val="none" w:sz="0" w:space="0" w:color="auto"/>
        <w:bottom w:val="none" w:sz="0" w:space="0" w:color="auto"/>
        <w:right w:val="none" w:sz="0" w:space="0" w:color="auto"/>
      </w:divBdr>
    </w:div>
    <w:div w:id="1548175700">
      <w:marLeft w:val="0"/>
      <w:marRight w:val="0"/>
      <w:marTop w:val="0"/>
      <w:marBottom w:val="0"/>
      <w:divBdr>
        <w:top w:val="none" w:sz="0" w:space="0" w:color="auto"/>
        <w:left w:val="none" w:sz="0" w:space="0" w:color="auto"/>
        <w:bottom w:val="none" w:sz="0" w:space="0" w:color="auto"/>
        <w:right w:val="none" w:sz="0" w:space="0" w:color="auto"/>
      </w:divBdr>
    </w:div>
    <w:div w:id="1548175701">
      <w:marLeft w:val="0"/>
      <w:marRight w:val="0"/>
      <w:marTop w:val="0"/>
      <w:marBottom w:val="0"/>
      <w:divBdr>
        <w:top w:val="none" w:sz="0" w:space="0" w:color="auto"/>
        <w:left w:val="none" w:sz="0" w:space="0" w:color="auto"/>
        <w:bottom w:val="none" w:sz="0" w:space="0" w:color="auto"/>
        <w:right w:val="none" w:sz="0" w:space="0" w:color="auto"/>
      </w:divBdr>
    </w:div>
    <w:div w:id="1548175702">
      <w:marLeft w:val="0"/>
      <w:marRight w:val="0"/>
      <w:marTop w:val="0"/>
      <w:marBottom w:val="0"/>
      <w:divBdr>
        <w:top w:val="none" w:sz="0" w:space="0" w:color="auto"/>
        <w:left w:val="none" w:sz="0" w:space="0" w:color="auto"/>
        <w:bottom w:val="none" w:sz="0" w:space="0" w:color="auto"/>
        <w:right w:val="none" w:sz="0" w:space="0" w:color="auto"/>
      </w:divBdr>
    </w:div>
    <w:div w:id="1548175705">
      <w:marLeft w:val="0"/>
      <w:marRight w:val="0"/>
      <w:marTop w:val="0"/>
      <w:marBottom w:val="0"/>
      <w:divBdr>
        <w:top w:val="none" w:sz="0" w:space="0" w:color="auto"/>
        <w:left w:val="none" w:sz="0" w:space="0" w:color="auto"/>
        <w:bottom w:val="none" w:sz="0" w:space="0" w:color="auto"/>
        <w:right w:val="none" w:sz="0" w:space="0" w:color="auto"/>
      </w:divBdr>
    </w:div>
    <w:div w:id="1548175706">
      <w:marLeft w:val="0"/>
      <w:marRight w:val="0"/>
      <w:marTop w:val="0"/>
      <w:marBottom w:val="0"/>
      <w:divBdr>
        <w:top w:val="none" w:sz="0" w:space="0" w:color="auto"/>
        <w:left w:val="none" w:sz="0" w:space="0" w:color="auto"/>
        <w:bottom w:val="none" w:sz="0" w:space="0" w:color="auto"/>
        <w:right w:val="none" w:sz="0" w:space="0" w:color="auto"/>
      </w:divBdr>
    </w:div>
    <w:div w:id="1548175710">
      <w:marLeft w:val="0"/>
      <w:marRight w:val="0"/>
      <w:marTop w:val="0"/>
      <w:marBottom w:val="0"/>
      <w:divBdr>
        <w:top w:val="none" w:sz="0" w:space="0" w:color="auto"/>
        <w:left w:val="none" w:sz="0" w:space="0" w:color="auto"/>
        <w:bottom w:val="none" w:sz="0" w:space="0" w:color="auto"/>
        <w:right w:val="none" w:sz="0" w:space="0" w:color="auto"/>
      </w:divBdr>
    </w:div>
    <w:div w:id="1548175711">
      <w:marLeft w:val="0"/>
      <w:marRight w:val="0"/>
      <w:marTop w:val="0"/>
      <w:marBottom w:val="0"/>
      <w:divBdr>
        <w:top w:val="none" w:sz="0" w:space="0" w:color="auto"/>
        <w:left w:val="none" w:sz="0" w:space="0" w:color="auto"/>
        <w:bottom w:val="none" w:sz="0" w:space="0" w:color="auto"/>
        <w:right w:val="none" w:sz="0" w:space="0" w:color="auto"/>
      </w:divBdr>
    </w:div>
    <w:div w:id="1548175712">
      <w:marLeft w:val="0"/>
      <w:marRight w:val="0"/>
      <w:marTop w:val="0"/>
      <w:marBottom w:val="0"/>
      <w:divBdr>
        <w:top w:val="none" w:sz="0" w:space="0" w:color="auto"/>
        <w:left w:val="none" w:sz="0" w:space="0" w:color="auto"/>
        <w:bottom w:val="none" w:sz="0" w:space="0" w:color="auto"/>
        <w:right w:val="none" w:sz="0" w:space="0" w:color="auto"/>
      </w:divBdr>
    </w:div>
    <w:div w:id="1548175715">
      <w:marLeft w:val="0"/>
      <w:marRight w:val="0"/>
      <w:marTop w:val="0"/>
      <w:marBottom w:val="0"/>
      <w:divBdr>
        <w:top w:val="none" w:sz="0" w:space="0" w:color="auto"/>
        <w:left w:val="none" w:sz="0" w:space="0" w:color="auto"/>
        <w:bottom w:val="none" w:sz="0" w:space="0" w:color="auto"/>
        <w:right w:val="none" w:sz="0" w:space="0" w:color="auto"/>
      </w:divBdr>
    </w:div>
    <w:div w:id="1548175718">
      <w:marLeft w:val="0"/>
      <w:marRight w:val="0"/>
      <w:marTop w:val="0"/>
      <w:marBottom w:val="0"/>
      <w:divBdr>
        <w:top w:val="none" w:sz="0" w:space="0" w:color="auto"/>
        <w:left w:val="none" w:sz="0" w:space="0" w:color="auto"/>
        <w:bottom w:val="none" w:sz="0" w:space="0" w:color="auto"/>
        <w:right w:val="none" w:sz="0" w:space="0" w:color="auto"/>
      </w:divBdr>
    </w:div>
    <w:div w:id="1548175722">
      <w:marLeft w:val="0"/>
      <w:marRight w:val="0"/>
      <w:marTop w:val="0"/>
      <w:marBottom w:val="0"/>
      <w:divBdr>
        <w:top w:val="none" w:sz="0" w:space="0" w:color="auto"/>
        <w:left w:val="none" w:sz="0" w:space="0" w:color="auto"/>
        <w:bottom w:val="none" w:sz="0" w:space="0" w:color="auto"/>
        <w:right w:val="none" w:sz="0" w:space="0" w:color="auto"/>
      </w:divBdr>
      <w:divsChild>
        <w:div w:id="1548175713">
          <w:marLeft w:val="0"/>
          <w:marRight w:val="0"/>
          <w:marTop w:val="0"/>
          <w:marBottom w:val="0"/>
          <w:divBdr>
            <w:top w:val="none" w:sz="0" w:space="0" w:color="auto"/>
            <w:left w:val="none" w:sz="0" w:space="0" w:color="auto"/>
            <w:bottom w:val="none" w:sz="0" w:space="0" w:color="auto"/>
            <w:right w:val="none" w:sz="0" w:space="0" w:color="auto"/>
          </w:divBdr>
          <w:divsChild>
            <w:div w:id="1548175721">
              <w:marLeft w:val="0"/>
              <w:marRight w:val="0"/>
              <w:marTop w:val="0"/>
              <w:marBottom w:val="0"/>
              <w:divBdr>
                <w:top w:val="none" w:sz="0" w:space="0" w:color="auto"/>
                <w:left w:val="none" w:sz="0" w:space="0" w:color="auto"/>
                <w:bottom w:val="none" w:sz="0" w:space="0" w:color="auto"/>
                <w:right w:val="none" w:sz="0" w:space="0" w:color="auto"/>
              </w:divBdr>
              <w:divsChild>
                <w:div w:id="1548175703">
                  <w:marLeft w:val="0"/>
                  <w:marRight w:val="0"/>
                  <w:marTop w:val="0"/>
                  <w:marBottom w:val="0"/>
                  <w:divBdr>
                    <w:top w:val="none" w:sz="0" w:space="0" w:color="auto"/>
                    <w:left w:val="none" w:sz="0" w:space="0" w:color="auto"/>
                    <w:bottom w:val="none" w:sz="0" w:space="0" w:color="auto"/>
                    <w:right w:val="none" w:sz="0" w:space="0" w:color="auto"/>
                  </w:divBdr>
                  <w:divsChild>
                    <w:div w:id="1548175709">
                      <w:marLeft w:val="0"/>
                      <w:marRight w:val="0"/>
                      <w:marTop w:val="0"/>
                      <w:marBottom w:val="0"/>
                      <w:divBdr>
                        <w:top w:val="none" w:sz="0" w:space="0" w:color="auto"/>
                        <w:left w:val="none" w:sz="0" w:space="0" w:color="auto"/>
                        <w:bottom w:val="none" w:sz="0" w:space="0" w:color="auto"/>
                        <w:right w:val="none" w:sz="0" w:space="0" w:color="auto"/>
                      </w:divBdr>
                      <w:divsChild>
                        <w:div w:id="1548175723">
                          <w:marLeft w:val="0"/>
                          <w:marRight w:val="0"/>
                          <w:marTop w:val="0"/>
                          <w:marBottom w:val="0"/>
                          <w:divBdr>
                            <w:top w:val="none" w:sz="0" w:space="0" w:color="auto"/>
                            <w:left w:val="none" w:sz="0" w:space="0" w:color="auto"/>
                            <w:bottom w:val="none" w:sz="0" w:space="0" w:color="auto"/>
                            <w:right w:val="none" w:sz="0" w:space="0" w:color="auto"/>
                          </w:divBdr>
                          <w:divsChild>
                            <w:div w:id="1548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5725">
      <w:marLeft w:val="0"/>
      <w:marRight w:val="0"/>
      <w:marTop w:val="0"/>
      <w:marBottom w:val="0"/>
      <w:divBdr>
        <w:top w:val="none" w:sz="0" w:space="0" w:color="auto"/>
        <w:left w:val="none" w:sz="0" w:space="0" w:color="auto"/>
        <w:bottom w:val="none" w:sz="0" w:space="0" w:color="auto"/>
        <w:right w:val="none" w:sz="0" w:space="0" w:color="auto"/>
      </w:divBdr>
      <w:divsChild>
        <w:div w:id="1548175714">
          <w:marLeft w:val="0"/>
          <w:marRight w:val="0"/>
          <w:marTop w:val="0"/>
          <w:marBottom w:val="0"/>
          <w:divBdr>
            <w:top w:val="none" w:sz="0" w:space="0" w:color="auto"/>
            <w:left w:val="none" w:sz="0" w:space="0" w:color="auto"/>
            <w:bottom w:val="none" w:sz="0" w:space="0" w:color="auto"/>
            <w:right w:val="none" w:sz="0" w:space="0" w:color="auto"/>
          </w:divBdr>
          <w:divsChild>
            <w:div w:id="1548175716">
              <w:marLeft w:val="0"/>
              <w:marRight w:val="0"/>
              <w:marTop w:val="0"/>
              <w:marBottom w:val="0"/>
              <w:divBdr>
                <w:top w:val="none" w:sz="0" w:space="0" w:color="auto"/>
                <w:left w:val="none" w:sz="0" w:space="0" w:color="auto"/>
                <w:bottom w:val="none" w:sz="0" w:space="0" w:color="auto"/>
                <w:right w:val="none" w:sz="0" w:space="0" w:color="auto"/>
              </w:divBdr>
              <w:divsChild>
                <w:div w:id="1548175724">
                  <w:marLeft w:val="0"/>
                  <w:marRight w:val="0"/>
                  <w:marTop w:val="0"/>
                  <w:marBottom w:val="0"/>
                  <w:divBdr>
                    <w:top w:val="none" w:sz="0" w:space="0" w:color="auto"/>
                    <w:left w:val="none" w:sz="0" w:space="0" w:color="auto"/>
                    <w:bottom w:val="none" w:sz="0" w:space="0" w:color="auto"/>
                    <w:right w:val="none" w:sz="0" w:space="0" w:color="auto"/>
                  </w:divBdr>
                  <w:divsChild>
                    <w:div w:id="1548175717">
                      <w:marLeft w:val="0"/>
                      <w:marRight w:val="0"/>
                      <w:marTop w:val="0"/>
                      <w:marBottom w:val="0"/>
                      <w:divBdr>
                        <w:top w:val="none" w:sz="0" w:space="0" w:color="auto"/>
                        <w:left w:val="none" w:sz="0" w:space="0" w:color="auto"/>
                        <w:bottom w:val="none" w:sz="0" w:space="0" w:color="auto"/>
                        <w:right w:val="none" w:sz="0" w:space="0" w:color="auto"/>
                      </w:divBdr>
                      <w:divsChild>
                        <w:div w:id="1548175707">
                          <w:marLeft w:val="0"/>
                          <w:marRight w:val="0"/>
                          <w:marTop w:val="0"/>
                          <w:marBottom w:val="0"/>
                          <w:divBdr>
                            <w:top w:val="none" w:sz="0" w:space="0" w:color="auto"/>
                            <w:left w:val="none" w:sz="0" w:space="0" w:color="auto"/>
                            <w:bottom w:val="none" w:sz="0" w:space="0" w:color="auto"/>
                            <w:right w:val="none" w:sz="0" w:space="0" w:color="auto"/>
                          </w:divBdr>
                          <w:divsChild>
                            <w:div w:id="1548175704">
                              <w:marLeft w:val="0"/>
                              <w:marRight w:val="0"/>
                              <w:marTop w:val="0"/>
                              <w:marBottom w:val="0"/>
                              <w:divBdr>
                                <w:top w:val="none" w:sz="0" w:space="0" w:color="auto"/>
                                <w:left w:val="none" w:sz="0" w:space="0" w:color="auto"/>
                                <w:bottom w:val="none" w:sz="0" w:space="0" w:color="auto"/>
                                <w:right w:val="none" w:sz="0" w:space="0" w:color="auto"/>
                              </w:divBdr>
                              <w:divsChild>
                                <w:div w:id="1548175719">
                                  <w:marLeft w:val="0"/>
                                  <w:marRight w:val="0"/>
                                  <w:marTop w:val="0"/>
                                  <w:marBottom w:val="0"/>
                                  <w:divBdr>
                                    <w:top w:val="none" w:sz="0" w:space="0" w:color="auto"/>
                                    <w:left w:val="none" w:sz="0" w:space="0" w:color="auto"/>
                                    <w:bottom w:val="none" w:sz="0" w:space="0" w:color="auto"/>
                                    <w:right w:val="none" w:sz="0" w:space="0" w:color="auto"/>
                                  </w:divBdr>
                                  <w:divsChild>
                                    <w:div w:id="15481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726">
      <w:marLeft w:val="0"/>
      <w:marRight w:val="0"/>
      <w:marTop w:val="0"/>
      <w:marBottom w:val="0"/>
      <w:divBdr>
        <w:top w:val="none" w:sz="0" w:space="0" w:color="auto"/>
        <w:left w:val="none" w:sz="0" w:space="0" w:color="auto"/>
        <w:bottom w:val="none" w:sz="0" w:space="0" w:color="auto"/>
        <w:right w:val="none" w:sz="0" w:space="0" w:color="auto"/>
      </w:divBdr>
    </w:div>
    <w:div w:id="1548175727">
      <w:marLeft w:val="0"/>
      <w:marRight w:val="0"/>
      <w:marTop w:val="0"/>
      <w:marBottom w:val="0"/>
      <w:divBdr>
        <w:top w:val="none" w:sz="0" w:space="0" w:color="auto"/>
        <w:left w:val="none" w:sz="0" w:space="0" w:color="auto"/>
        <w:bottom w:val="none" w:sz="0" w:space="0" w:color="auto"/>
        <w:right w:val="none" w:sz="0" w:space="0" w:color="auto"/>
      </w:divBdr>
    </w:div>
    <w:div w:id="1548175728">
      <w:marLeft w:val="0"/>
      <w:marRight w:val="0"/>
      <w:marTop w:val="0"/>
      <w:marBottom w:val="0"/>
      <w:divBdr>
        <w:top w:val="none" w:sz="0" w:space="0" w:color="auto"/>
        <w:left w:val="none" w:sz="0" w:space="0" w:color="auto"/>
        <w:bottom w:val="none" w:sz="0" w:space="0" w:color="auto"/>
        <w:right w:val="none" w:sz="0" w:space="0" w:color="auto"/>
      </w:divBdr>
    </w:div>
    <w:div w:id="1548175729">
      <w:marLeft w:val="0"/>
      <w:marRight w:val="0"/>
      <w:marTop w:val="0"/>
      <w:marBottom w:val="0"/>
      <w:divBdr>
        <w:top w:val="none" w:sz="0" w:space="0" w:color="auto"/>
        <w:left w:val="none" w:sz="0" w:space="0" w:color="auto"/>
        <w:bottom w:val="none" w:sz="0" w:space="0" w:color="auto"/>
        <w:right w:val="none" w:sz="0" w:space="0" w:color="auto"/>
      </w:divBdr>
    </w:div>
    <w:div w:id="1548175730">
      <w:marLeft w:val="0"/>
      <w:marRight w:val="0"/>
      <w:marTop w:val="0"/>
      <w:marBottom w:val="0"/>
      <w:divBdr>
        <w:top w:val="none" w:sz="0" w:space="0" w:color="auto"/>
        <w:left w:val="none" w:sz="0" w:space="0" w:color="auto"/>
        <w:bottom w:val="none" w:sz="0" w:space="0" w:color="auto"/>
        <w:right w:val="none" w:sz="0" w:space="0" w:color="auto"/>
      </w:divBdr>
    </w:div>
    <w:div w:id="1548175731">
      <w:marLeft w:val="0"/>
      <w:marRight w:val="0"/>
      <w:marTop w:val="0"/>
      <w:marBottom w:val="0"/>
      <w:divBdr>
        <w:top w:val="none" w:sz="0" w:space="0" w:color="auto"/>
        <w:left w:val="none" w:sz="0" w:space="0" w:color="auto"/>
        <w:bottom w:val="none" w:sz="0" w:space="0" w:color="auto"/>
        <w:right w:val="none" w:sz="0" w:space="0" w:color="auto"/>
      </w:divBdr>
    </w:div>
    <w:div w:id="1991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companysearch.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tronics.com/i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wa.plantronics.com/OWA/redir.aspx?C=beb9e0837ca54f84815a7c0880356a73&amp;URL=http%3a%2f%2fwww.plantronic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3071ebf9-227a-4f68-abfb-1bfcd889697b">FY14</Year>
    <Quarter xmlns="3071ebf9-227a-4f68-abfb-1bfcd889697b">Q3</Quarter>
    <ReportOwner xmlns="http://schemas.microsoft.com/sharepoint/v3">
      <UserInfo>
        <DisplayName>Klaben, Greg</DisplayName>
        <AccountId>323</AccountId>
        <AccountType/>
      </UserInfo>
    </Report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1CFC9CF26544B95E931B843B2BC79" ma:contentTypeVersion="7" ma:contentTypeDescription="Create a new document." ma:contentTypeScope="" ma:versionID="d4125f79508d9830a30a95608621bce0">
  <xsd:schema xmlns:xsd="http://www.w3.org/2001/XMLSchema" xmlns:xs="http://www.w3.org/2001/XMLSchema" xmlns:p="http://schemas.microsoft.com/office/2006/metadata/properties" xmlns:ns1="http://schemas.microsoft.com/sharepoint/v3" xmlns:ns2="3071ebf9-227a-4f68-abfb-1bfcd889697b" targetNamespace="http://schemas.microsoft.com/office/2006/metadata/properties" ma:root="true" ma:fieldsID="965d05595635be7386032ab53a786afe" ns1:_="" ns2:_="">
    <xsd:import namespace="http://schemas.microsoft.com/sharepoint/v3"/>
    <xsd:import namespace="3071ebf9-227a-4f68-abfb-1bfcd889697b"/>
    <xsd:element name="properties">
      <xsd:complexType>
        <xsd:sequence>
          <xsd:element name="documentManagement">
            <xsd:complexType>
              <xsd:all>
                <xsd:element ref="ns2:Year" minOccurs="0"/>
                <xsd:element ref="ns2:Quarter" minOccurs="0"/>
                <xsd:element ref="ns1:Report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1ebf9-227a-4f68-abfb-1bfcd889697b" elementFormDefault="qualified">
    <xsd:import namespace="http://schemas.microsoft.com/office/2006/documentManagement/types"/>
    <xsd:import namespace="http://schemas.microsoft.com/office/infopath/2007/PartnerControls"/>
    <xsd:element name="Year" ma:index="8" nillable="true" ma:displayName="Fiscal Year" ma:format="Dropdown" ma:internalName="Year">
      <xsd:simpleType>
        <xsd:restriction base="dms:Choice">
          <xsd:enumeration value="FY12"/>
          <xsd:enumeration value="FY13"/>
          <xsd:enumeration value="FY14"/>
          <xsd:enumeration value="FY15"/>
          <xsd:enumeration value="FY16"/>
          <xsd:enumeration value="FY17"/>
          <xsd:enumeration value="FY18"/>
          <xsd:enumeration value="FY19"/>
          <xsd:enumeration value="FY20"/>
        </xsd:restriction>
      </xsd:simpleType>
    </xsd:element>
    <xsd:element name="Quarter" ma:index="9" nillable="true" ma:displayName="Quarter" ma:format="Dropdown" ma:internalName="Quarter">
      <xsd:simpleType>
        <xsd:restriction base="dms:Choice">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E2E7-1B94-4597-9BC5-4761B2FE6995}">
  <ds:schemaRefs>
    <ds:schemaRef ds:uri="http://schemas.microsoft.com/sharepoint/v3/contenttype/forms"/>
  </ds:schemaRefs>
</ds:datastoreItem>
</file>

<file path=customXml/itemProps2.xml><?xml version="1.0" encoding="utf-8"?>
<ds:datastoreItem xmlns:ds="http://schemas.openxmlformats.org/officeDocument/2006/customXml" ds:itemID="{4538891A-0DFD-4946-9C09-9A42FA26B39A}">
  <ds:schemaRefs>
    <ds:schemaRef ds:uri="http://schemas.microsoft.com/office/2006/metadata/properties"/>
    <ds:schemaRef ds:uri="http://schemas.microsoft.com/office/infopath/2007/PartnerControls"/>
    <ds:schemaRef ds:uri="3071ebf9-227a-4f68-abfb-1bfcd889697b"/>
    <ds:schemaRef ds:uri="http://schemas.microsoft.com/sharepoint/v3"/>
  </ds:schemaRefs>
</ds:datastoreItem>
</file>

<file path=customXml/itemProps3.xml><?xml version="1.0" encoding="utf-8"?>
<ds:datastoreItem xmlns:ds="http://schemas.openxmlformats.org/officeDocument/2006/customXml" ds:itemID="{4FC3BB95-4CB6-4058-AF70-E7ECAF787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1ebf9-227a-4f68-abfb-1bfcd889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8674E-CEAE-493D-9E98-47DBEDB4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Financial Results Press Release</vt:lpstr>
    </vt:vector>
  </TitlesOfParts>
  <Company>Plantronics, Inc.</Company>
  <LinksUpToDate>false</LinksUpToDate>
  <CharactersWithSpaces>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Results Press Release</dc:title>
  <dc:creator>Greg Klaben</dc:creator>
  <cp:lastModifiedBy>Kulbarsh, Kelsey</cp:lastModifiedBy>
  <cp:revision>2</cp:revision>
  <cp:lastPrinted>2015-07-24T21:55:00Z</cp:lastPrinted>
  <dcterms:created xsi:type="dcterms:W3CDTF">2015-07-27T19:57:00Z</dcterms:created>
  <dcterms:modified xsi:type="dcterms:W3CDTF">2015-07-27T19:57:00Z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y fmtid="{D5CDD505-2E9C-101B-9397-08002B2CF9AE}" pid="3" name="ContentTypeId">
    <vt:lpwstr>0x0101000BB1CFC9CF26544B95E931B843B2BC79</vt:lpwstr>
  </property>
</Properties>
</file>