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59E24" w14:textId="0DB93681" w:rsidR="001112A8" w:rsidRPr="001112A8" w:rsidRDefault="001112A8">
      <w:pPr>
        <w:spacing w:before="240" w:after="240"/>
        <w:rPr>
          <w:rFonts w:eastAsia="Kumbh Sans"/>
          <w:sz w:val="24"/>
          <w:szCs w:val="24"/>
        </w:rPr>
      </w:pPr>
      <w:r w:rsidRPr="001112A8">
        <w:rPr>
          <w:rFonts w:eastAsia="Kumbh Sans"/>
          <w:sz w:val="24"/>
          <w:szCs w:val="24"/>
        </w:rPr>
        <w:t>PRESS RELEASE</w:t>
      </w:r>
    </w:p>
    <w:p w14:paraId="00000001" w14:textId="6A3568E2" w:rsidR="008C2B7F" w:rsidRDefault="001112A8">
      <w:pPr>
        <w:spacing w:before="240" w:after="240"/>
        <w:rPr>
          <w:rFonts w:eastAsia="Kumbh Sans"/>
          <w:b/>
          <w:bCs/>
          <w:sz w:val="28"/>
          <w:szCs w:val="28"/>
        </w:rPr>
      </w:pPr>
      <w:r w:rsidRPr="001112A8">
        <w:rPr>
          <w:rFonts w:eastAsia="Kumbh Sans"/>
          <w:b/>
          <w:bCs/>
          <w:sz w:val="28"/>
          <w:szCs w:val="28"/>
        </w:rPr>
        <w:t xml:space="preserve">Illumina and </w:t>
      </w:r>
      <w:proofErr w:type="spellStart"/>
      <w:r w:rsidRPr="001112A8">
        <w:rPr>
          <w:rFonts w:eastAsia="Kumbh Sans"/>
          <w:b/>
          <w:bCs/>
          <w:sz w:val="28"/>
          <w:szCs w:val="28"/>
        </w:rPr>
        <w:t>MyOme</w:t>
      </w:r>
      <w:proofErr w:type="spellEnd"/>
      <w:r w:rsidRPr="001112A8">
        <w:rPr>
          <w:rFonts w:eastAsia="Kumbh Sans"/>
          <w:b/>
          <w:bCs/>
          <w:sz w:val="28"/>
          <w:szCs w:val="28"/>
        </w:rPr>
        <w:t xml:space="preserve"> Strike Collaboration Deal Including Strategic Investment to Support </w:t>
      </w:r>
      <w:proofErr w:type="spellStart"/>
      <w:r w:rsidRPr="001112A8">
        <w:rPr>
          <w:rFonts w:eastAsia="Kumbh Sans"/>
          <w:b/>
          <w:bCs/>
          <w:sz w:val="28"/>
          <w:szCs w:val="28"/>
        </w:rPr>
        <w:t>MyOme’s</w:t>
      </w:r>
      <w:proofErr w:type="spellEnd"/>
      <w:r w:rsidRPr="001112A8">
        <w:rPr>
          <w:rFonts w:eastAsia="Kumbh Sans"/>
          <w:b/>
          <w:bCs/>
          <w:sz w:val="28"/>
          <w:szCs w:val="28"/>
        </w:rPr>
        <w:t xml:space="preserve"> Clinical Trial That Could Save U.S. Healthcare $200 Billion Annually</w:t>
      </w:r>
    </w:p>
    <w:p w14:paraId="06ABACF5" w14:textId="7C734620" w:rsidR="001112A8" w:rsidRPr="001112A8" w:rsidRDefault="001112A8">
      <w:pPr>
        <w:spacing w:before="240" w:after="240"/>
        <w:rPr>
          <w:rFonts w:eastAsia="Kumbh Sans"/>
        </w:rPr>
      </w:pPr>
      <w:r w:rsidRPr="001112A8">
        <w:rPr>
          <w:rFonts w:eastAsia="Kumbh Sans"/>
        </w:rPr>
        <w:t>December 11, 2025</w:t>
      </w:r>
    </w:p>
    <w:p w14:paraId="00000002" w14:textId="77777777" w:rsidR="008C2B7F" w:rsidRPr="001112A8" w:rsidRDefault="001112A8">
      <w:pPr>
        <w:spacing w:before="240" w:after="240"/>
        <w:rPr>
          <w:rFonts w:eastAsia="Kumbh Sans"/>
          <w:sz w:val="24"/>
          <w:szCs w:val="24"/>
        </w:rPr>
      </w:pPr>
      <w:r w:rsidRPr="001112A8">
        <w:rPr>
          <w:rFonts w:eastAsia="Kumbh Sans"/>
          <w:i/>
          <w:iCs/>
          <w:sz w:val="24"/>
          <w:szCs w:val="24"/>
        </w:rPr>
        <w:t xml:space="preserve">Partnership unites Illumina's leading sequencing technology with cutting-edge clinical genomics analyses and AI to advance precision medicine for early detection and prevention. </w:t>
      </w:r>
    </w:p>
    <w:p w14:paraId="00000003" w14:textId="73712B10" w:rsidR="008C2B7F" w:rsidRPr="001112A8" w:rsidRDefault="001112A8">
      <w:pPr>
        <w:spacing w:before="240" w:after="240"/>
        <w:rPr>
          <w:rFonts w:eastAsia="Kumbh Sans"/>
          <w:sz w:val="24"/>
          <w:szCs w:val="24"/>
        </w:rPr>
      </w:pPr>
      <w:r w:rsidRPr="001112A8">
        <w:rPr>
          <w:rFonts w:eastAsia="Kumbh Sans"/>
          <w:sz w:val="24"/>
          <w:szCs w:val="24"/>
        </w:rPr>
        <w:t xml:space="preserve">SAN DIEGO and MENLO PARK, Calif. — </w:t>
      </w:r>
      <w:r w:rsidR="001102FC" w:rsidRPr="001112A8">
        <w:rPr>
          <w:rFonts w:eastAsia="Kumbh Sans"/>
          <w:sz w:val="24"/>
          <w:szCs w:val="24"/>
        </w:rPr>
        <w:t>Dec 11, 2025</w:t>
      </w:r>
      <w:r w:rsidRPr="001112A8">
        <w:rPr>
          <w:rFonts w:eastAsia="Kumbh Sans"/>
          <w:sz w:val="24"/>
          <w:szCs w:val="24"/>
        </w:rPr>
        <w:t xml:space="preserve"> — Illumina, Inc. (NASDAQ: ILMN) and </w:t>
      </w:r>
      <w:proofErr w:type="spellStart"/>
      <w:r w:rsidRPr="001112A8">
        <w:rPr>
          <w:rFonts w:eastAsia="Kumbh Sans"/>
          <w:sz w:val="24"/>
          <w:szCs w:val="24"/>
        </w:rPr>
        <w:t>MyOme</w:t>
      </w:r>
      <w:proofErr w:type="spellEnd"/>
      <w:r w:rsidRPr="001112A8">
        <w:rPr>
          <w:rFonts w:eastAsia="Kumbh Sans"/>
          <w:sz w:val="24"/>
          <w:szCs w:val="24"/>
        </w:rPr>
        <w:t xml:space="preserve">, a leading genomics innovation and risk modeling company, today announced a collaboration and investment by Illumina into </w:t>
      </w:r>
      <w:proofErr w:type="spellStart"/>
      <w:r w:rsidRPr="001112A8">
        <w:rPr>
          <w:rFonts w:eastAsia="Kumbh Sans"/>
          <w:sz w:val="24"/>
          <w:szCs w:val="24"/>
        </w:rPr>
        <w:t>MyOme</w:t>
      </w:r>
      <w:proofErr w:type="spellEnd"/>
      <w:r w:rsidRPr="001112A8">
        <w:rPr>
          <w:rFonts w:eastAsia="Kumbh Sans"/>
          <w:b/>
          <w:bCs/>
          <w:sz w:val="24"/>
          <w:szCs w:val="24"/>
        </w:rPr>
        <w:t xml:space="preserve">. </w:t>
      </w:r>
      <w:r w:rsidRPr="001112A8">
        <w:rPr>
          <w:rFonts w:eastAsia="Kumbh Sans"/>
          <w:sz w:val="24"/>
          <w:szCs w:val="24"/>
        </w:rPr>
        <w:t xml:space="preserve">The collaboration and investment will help advance </w:t>
      </w:r>
      <w:proofErr w:type="spellStart"/>
      <w:r w:rsidRPr="001112A8">
        <w:rPr>
          <w:rFonts w:eastAsia="Kumbh Sans"/>
          <w:sz w:val="24"/>
          <w:szCs w:val="24"/>
        </w:rPr>
        <w:t>MyOme’s</w:t>
      </w:r>
      <w:proofErr w:type="spellEnd"/>
      <w:r w:rsidRPr="001112A8">
        <w:rPr>
          <w:rFonts w:eastAsia="Kumbh Sans"/>
          <w:sz w:val="24"/>
          <w:szCs w:val="24"/>
        </w:rPr>
        <w:t xml:space="preserve"> strategic roadmap including </w:t>
      </w:r>
      <w:proofErr w:type="spellStart"/>
      <w:r w:rsidRPr="001112A8">
        <w:rPr>
          <w:rFonts w:eastAsia="Kumbh Sans"/>
          <w:sz w:val="24"/>
          <w:szCs w:val="24"/>
        </w:rPr>
        <w:t>MyOme’s</w:t>
      </w:r>
      <w:proofErr w:type="spellEnd"/>
      <w:r w:rsidRPr="001112A8">
        <w:rPr>
          <w:rFonts w:eastAsia="Kumbh Sans"/>
          <w:sz w:val="24"/>
          <w:szCs w:val="24"/>
        </w:rPr>
        <w:t xml:space="preserve"> Proactive Health (MPH) Trial</w:t>
      </w:r>
      <w:r w:rsidRPr="001112A8">
        <w:rPr>
          <w:rFonts w:eastAsia="Kumbh Sans"/>
          <w:b/>
          <w:bCs/>
          <w:sz w:val="24"/>
          <w:szCs w:val="24"/>
        </w:rPr>
        <w:t xml:space="preserve"> </w:t>
      </w:r>
      <w:r w:rsidRPr="001112A8">
        <w:rPr>
          <w:rFonts w:eastAsia="Kumbh Sans"/>
          <w:sz w:val="24"/>
          <w:szCs w:val="24"/>
        </w:rPr>
        <w:t xml:space="preserve">— a large-scale prospective trial that aims to prove enhanced patient outcomes and substantial cost savings resulting from use of whole-genome sequencing (WGS) combined with </w:t>
      </w:r>
      <w:proofErr w:type="spellStart"/>
      <w:r w:rsidRPr="001112A8">
        <w:rPr>
          <w:rFonts w:eastAsia="Kumbh Sans"/>
          <w:sz w:val="24"/>
          <w:szCs w:val="24"/>
        </w:rPr>
        <w:t>MyOme’s</w:t>
      </w:r>
      <w:proofErr w:type="spellEnd"/>
      <w:r w:rsidRPr="001112A8">
        <w:rPr>
          <w:rFonts w:eastAsia="Kumbh Sans"/>
          <w:sz w:val="24"/>
          <w:szCs w:val="24"/>
        </w:rPr>
        <w:t xml:space="preserve"> AI-integrated risk mod</w:t>
      </w:r>
      <w:r w:rsidRPr="001112A8">
        <w:rPr>
          <w:rFonts w:eastAsia="Kumbh Sans"/>
          <w:sz w:val="24"/>
          <w:szCs w:val="24"/>
        </w:rPr>
        <w:t>els (IRMs) for common, chronic conditions, cancers, and rare disease.</w:t>
      </w:r>
    </w:p>
    <w:p w14:paraId="00000004" w14:textId="2E4C3645" w:rsidR="008C2B7F" w:rsidRPr="001112A8" w:rsidRDefault="001112A8">
      <w:pPr>
        <w:spacing w:before="240" w:after="240"/>
        <w:rPr>
          <w:rFonts w:eastAsia="Kumbh Sans"/>
          <w:sz w:val="24"/>
          <w:szCs w:val="24"/>
        </w:rPr>
      </w:pPr>
      <w:r w:rsidRPr="001112A8">
        <w:rPr>
          <w:rFonts w:eastAsia="Kumbh Sans"/>
          <w:sz w:val="24"/>
          <w:szCs w:val="24"/>
        </w:rPr>
        <w:t xml:space="preserve">The U.S. spends approximately $5 trillion annually on healthcare. Health economic and outcomes modeling suggests that broad adoption of clinical WGS combined with </w:t>
      </w:r>
      <w:proofErr w:type="spellStart"/>
      <w:r w:rsidRPr="001112A8">
        <w:rPr>
          <w:rFonts w:eastAsia="Kumbh Sans"/>
          <w:sz w:val="24"/>
          <w:szCs w:val="24"/>
        </w:rPr>
        <w:t>MyOme’s</w:t>
      </w:r>
      <w:proofErr w:type="spellEnd"/>
      <w:r w:rsidRPr="001112A8">
        <w:rPr>
          <w:rFonts w:eastAsia="Kumbh Sans"/>
          <w:sz w:val="24"/>
          <w:szCs w:val="24"/>
        </w:rPr>
        <w:t xml:space="preserve"> industry-leading IRMs could yield potential savings of more than $200 billion per year. WGS and IRM adoption would enable earlier detection and intervention when treatment costs are lower. Earlier intervention could also prevent or delay the onset </w:t>
      </w:r>
      <w:r w:rsidR="00B56824" w:rsidRPr="001112A8">
        <w:rPr>
          <w:rFonts w:eastAsia="Kumbh Sans"/>
          <w:sz w:val="24"/>
          <w:szCs w:val="24"/>
        </w:rPr>
        <w:t>of</w:t>
      </w:r>
      <w:r w:rsidRPr="001112A8">
        <w:rPr>
          <w:rFonts w:eastAsia="Kumbh Sans"/>
          <w:sz w:val="24"/>
          <w:szCs w:val="24"/>
        </w:rPr>
        <w:t xml:space="preserve"> a wide range of chronic and age-related conditions</w:t>
      </w:r>
      <w:r w:rsidRPr="001112A8">
        <w:rPr>
          <w:rFonts w:eastAsia="Kumbh Sans"/>
          <w:sz w:val="24"/>
          <w:szCs w:val="24"/>
          <w:vertAlign w:val="superscript"/>
        </w:rPr>
        <w:t>1,2</w:t>
      </w:r>
      <w:r w:rsidRPr="001112A8">
        <w:rPr>
          <w:rFonts w:eastAsia="Kumbh Sans"/>
          <w:sz w:val="24"/>
          <w:szCs w:val="24"/>
        </w:rPr>
        <w:t>. The MPH trial will begin enrollment in 2026.</w:t>
      </w:r>
    </w:p>
    <w:p w14:paraId="00000005" w14:textId="77777777" w:rsidR="008C2B7F" w:rsidRPr="001112A8" w:rsidRDefault="001112A8">
      <w:pPr>
        <w:spacing w:before="240" w:after="240"/>
        <w:rPr>
          <w:rFonts w:eastAsia="Kumbh Sans"/>
          <w:sz w:val="24"/>
          <w:szCs w:val="24"/>
        </w:rPr>
      </w:pPr>
      <w:r w:rsidRPr="001112A8">
        <w:rPr>
          <w:rFonts w:eastAsia="Kumbh Sans"/>
          <w:sz w:val="24"/>
          <w:szCs w:val="24"/>
        </w:rPr>
        <w:t>“</w:t>
      </w:r>
      <w:proofErr w:type="spellStart"/>
      <w:r w:rsidRPr="001112A8">
        <w:rPr>
          <w:rFonts w:eastAsia="Kumbh Sans"/>
          <w:sz w:val="24"/>
          <w:szCs w:val="24"/>
        </w:rPr>
        <w:t>MyOme’s</w:t>
      </w:r>
      <w:proofErr w:type="spellEnd"/>
      <w:r w:rsidRPr="001112A8">
        <w:rPr>
          <w:rFonts w:eastAsia="Kumbh Sans"/>
          <w:sz w:val="24"/>
          <w:szCs w:val="24"/>
        </w:rPr>
        <w:t xml:space="preserve"> approach represents an important evolution in the use of genomics for preventive care,” said Jakob Wedel, chief strategy and corporate development officer of Illumina. “By combining Illumina’s next-generation sequencing technologies with </w:t>
      </w:r>
      <w:proofErr w:type="spellStart"/>
      <w:r w:rsidRPr="001112A8">
        <w:rPr>
          <w:rFonts w:eastAsia="Kumbh Sans"/>
          <w:sz w:val="24"/>
          <w:szCs w:val="24"/>
        </w:rPr>
        <w:t>MyOme’s</w:t>
      </w:r>
      <w:proofErr w:type="spellEnd"/>
      <w:r w:rsidRPr="001112A8">
        <w:rPr>
          <w:rFonts w:eastAsia="Kumbh Sans"/>
          <w:sz w:val="24"/>
          <w:szCs w:val="24"/>
        </w:rPr>
        <w:t xml:space="preserve"> AI-integrated risk models, we are helping advance science and generate the clinical evidence needed to transform how diseases are detected and managed.”</w:t>
      </w:r>
    </w:p>
    <w:p w14:paraId="00000006" w14:textId="77777777" w:rsidR="008C2B7F" w:rsidRPr="001112A8" w:rsidRDefault="001112A8">
      <w:pPr>
        <w:spacing w:before="240" w:after="240"/>
        <w:rPr>
          <w:rFonts w:eastAsia="Kumbh Sans"/>
          <w:sz w:val="24"/>
          <w:szCs w:val="24"/>
        </w:rPr>
      </w:pPr>
      <w:r w:rsidRPr="001112A8">
        <w:rPr>
          <w:rFonts w:eastAsia="Kumbh Sans"/>
          <w:sz w:val="24"/>
          <w:szCs w:val="24"/>
        </w:rPr>
        <w:t xml:space="preserve">`The collaboration will also support </w:t>
      </w:r>
      <w:proofErr w:type="spellStart"/>
      <w:r w:rsidRPr="001112A8">
        <w:rPr>
          <w:rFonts w:eastAsia="Kumbh Sans"/>
          <w:sz w:val="24"/>
          <w:szCs w:val="24"/>
        </w:rPr>
        <w:t>MyOme’s</w:t>
      </w:r>
      <w:proofErr w:type="spellEnd"/>
      <w:r w:rsidRPr="001112A8">
        <w:rPr>
          <w:rFonts w:eastAsia="Kumbh Sans"/>
          <w:sz w:val="24"/>
          <w:szCs w:val="24"/>
        </w:rPr>
        <w:t xml:space="preserve"> ability to expand its commercially available products, including a suite of proactive health and rare disease diagnostic tests. By combining Illumina’s leadership in large-scale population health with </w:t>
      </w:r>
      <w:proofErr w:type="spellStart"/>
      <w:r w:rsidRPr="001112A8">
        <w:rPr>
          <w:rFonts w:eastAsia="Kumbh Sans"/>
          <w:sz w:val="24"/>
          <w:szCs w:val="24"/>
        </w:rPr>
        <w:t>MyOme’s</w:t>
      </w:r>
      <w:proofErr w:type="spellEnd"/>
      <w:r w:rsidRPr="001112A8">
        <w:rPr>
          <w:rFonts w:eastAsia="Kumbh Sans"/>
          <w:sz w:val="24"/>
          <w:szCs w:val="24"/>
        </w:rPr>
        <w:t xml:space="preserve"> IRMs, </w:t>
      </w:r>
      <w:proofErr w:type="spellStart"/>
      <w:r w:rsidRPr="001112A8">
        <w:rPr>
          <w:rFonts w:eastAsia="Kumbh Sans"/>
          <w:sz w:val="24"/>
          <w:szCs w:val="24"/>
        </w:rPr>
        <w:t>MyOme</w:t>
      </w:r>
      <w:proofErr w:type="spellEnd"/>
      <w:r w:rsidRPr="001112A8">
        <w:rPr>
          <w:rFonts w:eastAsia="Kumbh Sans"/>
          <w:sz w:val="24"/>
          <w:szCs w:val="24"/>
        </w:rPr>
        <w:t xml:space="preserve"> aims to help patients gain access to more accurate, ancestry-relevant risk assessments for many of the leading causes of death. Illumina’s technology </w:t>
      </w:r>
      <w:r w:rsidRPr="001112A8">
        <w:rPr>
          <w:rFonts w:eastAsia="Kumbh Sans"/>
          <w:sz w:val="24"/>
          <w:szCs w:val="24"/>
        </w:rPr>
        <w:lastRenderedPageBreak/>
        <w:t xml:space="preserve">roadmap will accelerate </w:t>
      </w:r>
      <w:proofErr w:type="spellStart"/>
      <w:r w:rsidRPr="001112A8">
        <w:rPr>
          <w:rFonts w:eastAsia="Kumbh Sans"/>
          <w:sz w:val="24"/>
          <w:szCs w:val="24"/>
        </w:rPr>
        <w:t>MyOme’s</w:t>
      </w:r>
      <w:proofErr w:type="spellEnd"/>
      <w:r w:rsidRPr="001112A8">
        <w:rPr>
          <w:rFonts w:eastAsia="Kumbh Sans"/>
          <w:sz w:val="24"/>
          <w:szCs w:val="24"/>
        </w:rPr>
        <w:t xml:space="preserve"> innovation in rare disease testing, further increasing diagnostic yield.</w:t>
      </w:r>
    </w:p>
    <w:p w14:paraId="00000007" w14:textId="77777777" w:rsidR="008C2B7F" w:rsidRPr="001112A8" w:rsidRDefault="001112A8">
      <w:pPr>
        <w:spacing w:before="240" w:after="240"/>
        <w:rPr>
          <w:rFonts w:eastAsia="Kumbh Sans"/>
          <w:sz w:val="24"/>
          <w:szCs w:val="24"/>
        </w:rPr>
      </w:pPr>
      <w:r w:rsidRPr="001112A8">
        <w:rPr>
          <w:rFonts w:eastAsia="Kumbh Sans"/>
          <w:sz w:val="24"/>
          <w:szCs w:val="24"/>
        </w:rPr>
        <w:t xml:space="preserve">“This collaboration advances science to fundamentally transform healthcare,” said Matt Rabinowitz, PhD, Executive Chairman of </w:t>
      </w:r>
      <w:proofErr w:type="spellStart"/>
      <w:r w:rsidRPr="001112A8">
        <w:rPr>
          <w:rFonts w:eastAsia="Kumbh Sans"/>
          <w:sz w:val="24"/>
          <w:szCs w:val="24"/>
        </w:rPr>
        <w:t>MyOme</w:t>
      </w:r>
      <w:proofErr w:type="spellEnd"/>
      <w:r w:rsidRPr="001112A8">
        <w:rPr>
          <w:rFonts w:eastAsia="Kumbh Sans"/>
          <w:sz w:val="24"/>
          <w:szCs w:val="24"/>
        </w:rPr>
        <w:t>. “</w:t>
      </w:r>
      <w:proofErr w:type="spellStart"/>
      <w:r w:rsidRPr="001112A8">
        <w:rPr>
          <w:rFonts w:eastAsia="Kumbh Sans"/>
          <w:sz w:val="24"/>
          <w:szCs w:val="24"/>
        </w:rPr>
        <w:t>MyOme</w:t>
      </w:r>
      <w:proofErr w:type="spellEnd"/>
      <w:r w:rsidRPr="001112A8">
        <w:rPr>
          <w:rFonts w:eastAsia="Kumbh Sans"/>
          <w:sz w:val="24"/>
          <w:szCs w:val="24"/>
        </w:rPr>
        <w:t xml:space="preserve"> is using whole genome sequencing, cutting-edge bioinformatics and AI analyses to deliver lifelong clinical benefits over diverse situations and phenotypes. These include pharmacogenomic insights, analysis of more than 150 genes with actionable incidental findings and integrated risk models combining polygenic risk scores and other analytes for major cancers, cardiometabolic disease, kidney, liver, cognitive and other diseases. With Illumina’s sequencing technology, we aim to demonstrate how ne</w:t>
      </w:r>
      <w:r w:rsidRPr="001112A8">
        <w:rPr>
          <w:rFonts w:eastAsia="Kumbh Sans"/>
          <w:sz w:val="24"/>
          <w:szCs w:val="24"/>
        </w:rPr>
        <w:t>xt-generation genomics, integrated with AI-driven risk models, can deliver deeper insights into human biology as well as meaningful economic impact for the U.S.A.”</w:t>
      </w:r>
    </w:p>
    <w:p w14:paraId="00000008" w14:textId="77777777" w:rsidR="008C2B7F" w:rsidRPr="001112A8" w:rsidRDefault="001112A8">
      <w:pPr>
        <w:pStyle w:val="Heading3"/>
        <w:keepNext w:val="0"/>
        <w:keepLines w:val="0"/>
        <w:spacing w:before="280"/>
        <w:rPr>
          <w:rFonts w:eastAsia="Kumbh Sans"/>
          <w:b/>
          <w:bCs/>
          <w:color w:val="000000"/>
          <w:sz w:val="24"/>
          <w:szCs w:val="24"/>
        </w:rPr>
      </w:pPr>
      <w:bookmarkStart w:id="0" w:name="_heading=h.18d04on4d28d" w:colFirst="0" w:colLast="0"/>
      <w:bookmarkEnd w:id="0"/>
      <w:r w:rsidRPr="001112A8">
        <w:rPr>
          <w:rFonts w:eastAsia="Kumbh Sans"/>
          <w:b/>
          <w:bCs/>
          <w:color w:val="000000"/>
          <w:sz w:val="24"/>
          <w:szCs w:val="24"/>
        </w:rPr>
        <w:t>Strategic Backing from Leading Partners</w:t>
      </w:r>
    </w:p>
    <w:p w14:paraId="00000009" w14:textId="77777777" w:rsidR="008C2B7F" w:rsidRPr="001112A8" w:rsidRDefault="001112A8">
      <w:pPr>
        <w:spacing w:before="240" w:after="240"/>
        <w:rPr>
          <w:rFonts w:eastAsia="Kumbh Sans"/>
          <w:sz w:val="24"/>
          <w:szCs w:val="24"/>
        </w:rPr>
      </w:pPr>
      <w:proofErr w:type="spellStart"/>
      <w:r w:rsidRPr="001112A8">
        <w:rPr>
          <w:rFonts w:eastAsia="Kumbh Sans"/>
          <w:sz w:val="24"/>
          <w:szCs w:val="24"/>
        </w:rPr>
        <w:t>MyOme’s</w:t>
      </w:r>
      <w:proofErr w:type="spellEnd"/>
      <w:r w:rsidRPr="001112A8">
        <w:rPr>
          <w:rFonts w:eastAsia="Kumbh Sans"/>
          <w:sz w:val="24"/>
          <w:szCs w:val="24"/>
        </w:rPr>
        <w:t xml:space="preserve"> latest financing is further strengthened by continued support from Natera, a global leader in genetic testing and diagnostics that brings deep clinical expertise in cancer detection, women’s health, organ health and hereditary disease. Sequoia Capital, The Duquesne Family Office, and others also participated in the financing.</w:t>
      </w:r>
    </w:p>
    <w:p w14:paraId="0000000A" w14:textId="77777777" w:rsidR="008C2B7F" w:rsidRPr="001112A8" w:rsidRDefault="001112A8">
      <w:pPr>
        <w:pStyle w:val="Heading3"/>
        <w:keepNext w:val="0"/>
        <w:keepLines w:val="0"/>
        <w:spacing w:before="280"/>
        <w:rPr>
          <w:rFonts w:eastAsia="Kumbh Sans"/>
          <w:b/>
          <w:bCs/>
          <w:color w:val="000000"/>
          <w:sz w:val="24"/>
          <w:szCs w:val="24"/>
        </w:rPr>
      </w:pPr>
      <w:bookmarkStart w:id="1" w:name="_heading=h.7zpm7to5pr1e" w:colFirst="0" w:colLast="0"/>
      <w:bookmarkEnd w:id="1"/>
      <w:r w:rsidRPr="001112A8">
        <w:rPr>
          <w:rFonts w:eastAsia="Kumbh Sans"/>
          <w:b/>
          <w:bCs/>
          <w:color w:val="000000"/>
          <w:sz w:val="24"/>
          <w:szCs w:val="24"/>
        </w:rPr>
        <w:t>About Illumina</w:t>
      </w:r>
    </w:p>
    <w:p w14:paraId="0000000B" w14:textId="77777777" w:rsidR="008C2B7F" w:rsidRPr="001112A8" w:rsidRDefault="001112A8">
      <w:pPr>
        <w:spacing w:after="280" w:line="240" w:lineRule="auto"/>
        <w:rPr>
          <w:rFonts w:eastAsia="Kumbh Sans"/>
          <w:sz w:val="24"/>
          <w:szCs w:val="24"/>
        </w:rPr>
      </w:pPr>
      <w:r w:rsidRPr="001112A8">
        <w:rPr>
          <w:rFonts w:eastAsia="Kumbh Sans"/>
          <w:sz w:val="24"/>
          <w:szCs w:val="24"/>
        </w:rPr>
        <w:t>Illumina is improving human health by unlocking the power of the genome. Our focus on innovation has established us as a global leader in DNA sequencing and array-based technologies, serving customers in the research, clinical, and applied markets. Our products are used for applications in the life sciences, oncology, reproductive health, agriculture, and other emerging segments. To learn more, visit </w:t>
      </w:r>
      <w:hyperlink r:id="rId8">
        <w:r w:rsidR="008C2B7F" w:rsidRPr="001112A8">
          <w:rPr>
            <w:rFonts w:eastAsia="Kumbh Sans"/>
            <w:sz w:val="24"/>
            <w:szCs w:val="24"/>
          </w:rPr>
          <w:t>illumina.com</w:t>
        </w:r>
      </w:hyperlink>
      <w:r w:rsidRPr="001112A8">
        <w:rPr>
          <w:rFonts w:eastAsia="Kumbh Sans"/>
          <w:sz w:val="24"/>
          <w:szCs w:val="24"/>
        </w:rPr>
        <w:t> and connect with us on </w:t>
      </w:r>
      <w:hyperlink r:id="rId9">
        <w:r w:rsidR="008C2B7F" w:rsidRPr="001112A8">
          <w:rPr>
            <w:rFonts w:eastAsia="Kumbh Sans"/>
            <w:sz w:val="24"/>
            <w:szCs w:val="24"/>
          </w:rPr>
          <w:t>X</w:t>
        </w:r>
      </w:hyperlink>
      <w:r w:rsidRPr="001112A8">
        <w:rPr>
          <w:rFonts w:eastAsia="Kumbh Sans"/>
          <w:sz w:val="24"/>
          <w:szCs w:val="24"/>
        </w:rPr>
        <w:t>, </w:t>
      </w:r>
      <w:hyperlink r:id="rId10">
        <w:r w:rsidR="008C2B7F" w:rsidRPr="001112A8">
          <w:rPr>
            <w:rFonts w:eastAsia="Kumbh Sans"/>
            <w:sz w:val="24"/>
            <w:szCs w:val="24"/>
          </w:rPr>
          <w:t>Facebook</w:t>
        </w:r>
      </w:hyperlink>
      <w:r w:rsidRPr="001112A8">
        <w:rPr>
          <w:rFonts w:eastAsia="Kumbh Sans"/>
          <w:sz w:val="24"/>
          <w:szCs w:val="24"/>
        </w:rPr>
        <w:t>, </w:t>
      </w:r>
      <w:hyperlink r:id="rId11">
        <w:r w:rsidR="008C2B7F" w:rsidRPr="001112A8">
          <w:rPr>
            <w:rFonts w:eastAsia="Kumbh Sans"/>
            <w:sz w:val="24"/>
            <w:szCs w:val="24"/>
          </w:rPr>
          <w:t>LinkedIn</w:t>
        </w:r>
      </w:hyperlink>
      <w:r w:rsidRPr="001112A8">
        <w:rPr>
          <w:rFonts w:eastAsia="Kumbh Sans"/>
          <w:sz w:val="24"/>
          <w:szCs w:val="24"/>
        </w:rPr>
        <w:t>, </w:t>
      </w:r>
      <w:hyperlink r:id="rId12">
        <w:r w:rsidR="008C2B7F" w:rsidRPr="001112A8">
          <w:rPr>
            <w:rFonts w:eastAsia="Kumbh Sans"/>
            <w:sz w:val="24"/>
            <w:szCs w:val="24"/>
          </w:rPr>
          <w:t>Instagram</w:t>
        </w:r>
      </w:hyperlink>
      <w:r w:rsidRPr="001112A8">
        <w:rPr>
          <w:rFonts w:eastAsia="Kumbh Sans"/>
          <w:sz w:val="24"/>
          <w:szCs w:val="24"/>
        </w:rPr>
        <w:t>, </w:t>
      </w:r>
      <w:hyperlink r:id="rId13">
        <w:r w:rsidR="008C2B7F" w:rsidRPr="001112A8">
          <w:rPr>
            <w:rFonts w:eastAsia="Kumbh Sans"/>
            <w:sz w:val="24"/>
            <w:szCs w:val="24"/>
          </w:rPr>
          <w:t>TikTok</w:t>
        </w:r>
      </w:hyperlink>
      <w:r w:rsidRPr="001112A8">
        <w:rPr>
          <w:rFonts w:eastAsia="Kumbh Sans"/>
          <w:sz w:val="24"/>
          <w:szCs w:val="24"/>
        </w:rPr>
        <w:t>, and </w:t>
      </w:r>
      <w:hyperlink r:id="rId14">
        <w:r w:rsidR="008C2B7F" w:rsidRPr="001112A8">
          <w:rPr>
            <w:rFonts w:eastAsia="Kumbh Sans"/>
            <w:sz w:val="24"/>
            <w:szCs w:val="24"/>
          </w:rPr>
          <w:t>YouTube</w:t>
        </w:r>
      </w:hyperlink>
      <w:r w:rsidRPr="001112A8">
        <w:rPr>
          <w:rFonts w:eastAsia="Kumbh Sans"/>
          <w:sz w:val="24"/>
          <w:szCs w:val="24"/>
        </w:rPr>
        <w:t>.</w:t>
      </w:r>
    </w:p>
    <w:p w14:paraId="0000000C" w14:textId="77777777" w:rsidR="008C2B7F" w:rsidRPr="001112A8" w:rsidRDefault="001112A8">
      <w:pPr>
        <w:pStyle w:val="Heading3"/>
        <w:keepNext w:val="0"/>
        <w:keepLines w:val="0"/>
        <w:spacing w:before="280"/>
        <w:rPr>
          <w:rFonts w:eastAsia="Kumbh Sans"/>
          <w:b/>
          <w:bCs/>
          <w:color w:val="000000"/>
          <w:sz w:val="24"/>
          <w:szCs w:val="24"/>
        </w:rPr>
      </w:pPr>
      <w:bookmarkStart w:id="2" w:name="_heading=h.ybjchhi80xgv" w:colFirst="0" w:colLast="0"/>
      <w:bookmarkEnd w:id="2"/>
      <w:r w:rsidRPr="001112A8">
        <w:rPr>
          <w:rFonts w:eastAsia="Kumbh Sans"/>
          <w:b/>
          <w:bCs/>
          <w:color w:val="000000"/>
          <w:sz w:val="24"/>
          <w:szCs w:val="24"/>
        </w:rPr>
        <w:t xml:space="preserve">About </w:t>
      </w:r>
      <w:proofErr w:type="spellStart"/>
      <w:r w:rsidRPr="001112A8">
        <w:rPr>
          <w:rFonts w:eastAsia="Kumbh Sans"/>
          <w:b/>
          <w:bCs/>
          <w:color w:val="000000"/>
          <w:sz w:val="24"/>
          <w:szCs w:val="24"/>
        </w:rPr>
        <w:t>MyOme</w:t>
      </w:r>
      <w:proofErr w:type="spellEnd"/>
    </w:p>
    <w:p w14:paraId="0000000D" w14:textId="77777777" w:rsidR="008C2B7F" w:rsidRPr="001112A8" w:rsidRDefault="001112A8">
      <w:pPr>
        <w:rPr>
          <w:rFonts w:eastAsia="Kumbh Sans"/>
          <w:sz w:val="24"/>
          <w:szCs w:val="24"/>
        </w:rPr>
      </w:pPr>
      <w:proofErr w:type="spellStart"/>
      <w:r w:rsidRPr="001112A8">
        <w:rPr>
          <w:rFonts w:eastAsia="Kumbh Sans"/>
          <w:sz w:val="24"/>
          <w:szCs w:val="24"/>
        </w:rPr>
        <w:t>MyOme</w:t>
      </w:r>
      <w:proofErr w:type="spellEnd"/>
      <w:r w:rsidRPr="001112A8">
        <w:rPr>
          <w:rFonts w:eastAsia="Kumbh Sans"/>
          <w:sz w:val="24"/>
          <w:szCs w:val="24"/>
        </w:rPr>
        <w:t xml:space="preserve"> is a clinical whole genome analysis platform company helping families understand their risk for inherited diseases. As a leader in genomic plus AI integrated risk modeling, </w:t>
      </w:r>
      <w:proofErr w:type="spellStart"/>
      <w:r w:rsidRPr="001112A8">
        <w:rPr>
          <w:rFonts w:eastAsia="Kumbh Sans"/>
          <w:sz w:val="24"/>
          <w:szCs w:val="24"/>
        </w:rPr>
        <w:t>MyOme</w:t>
      </w:r>
      <w:proofErr w:type="spellEnd"/>
      <w:r w:rsidRPr="001112A8">
        <w:rPr>
          <w:rFonts w:eastAsia="Kumbh Sans"/>
          <w:sz w:val="24"/>
          <w:szCs w:val="24"/>
        </w:rPr>
        <w:t xml:space="preserve"> leverages the power of the whole genome for a lifetime of meaningful and actionable insights. Certified under the Clinical Laboratory Improvement Amendments (CLIA) and certified by the College of American Pathologists (CAP), </w:t>
      </w:r>
      <w:proofErr w:type="spellStart"/>
      <w:r w:rsidRPr="001112A8">
        <w:rPr>
          <w:rFonts w:eastAsia="Kumbh Sans"/>
          <w:sz w:val="24"/>
          <w:szCs w:val="24"/>
        </w:rPr>
        <w:t>MyOme</w:t>
      </w:r>
      <w:proofErr w:type="spellEnd"/>
      <w:r w:rsidRPr="001112A8">
        <w:rPr>
          <w:rFonts w:eastAsia="Kumbh Sans"/>
          <w:sz w:val="24"/>
          <w:szCs w:val="24"/>
        </w:rPr>
        <w:t xml:space="preserve"> is based in Menlo Park, California. For more information, please visit </w:t>
      </w:r>
      <w:hyperlink r:id="rId15">
        <w:r w:rsidR="008C2B7F" w:rsidRPr="001112A8">
          <w:rPr>
            <w:rFonts w:eastAsia="Kumbh Sans"/>
            <w:sz w:val="24"/>
            <w:szCs w:val="24"/>
            <w:u w:val="single"/>
          </w:rPr>
          <w:t>myome.com.</w:t>
        </w:r>
      </w:hyperlink>
    </w:p>
    <w:p w14:paraId="0000000E" w14:textId="77777777" w:rsidR="008C2B7F" w:rsidRPr="001112A8" w:rsidRDefault="008C2B7F">
      <w:pPr>
        <w:rPr>
          <w:rFonts w:eastAsia="Kumbh Sans"/>
          <w:b/>
          <w:bCs/>
          <w:sz w:val="24"/>
          <w:szCs w:val="24"/>
        </w:rPr>
      </w:pPr>
    </w:p>
    <w:p w14:paraId="0000000F" w14:textId="77777777" w:rsidR="008C2B7F" w:rsidRPr="001112A8" w:rsidRDefault="001112A8">
      <w:pPr>
        <w:rPr>
          <w:rFonts w:eastAsia="Kumbh Sans"/>
          <w:b/>
          <w:bCs/>
          <w:sz w:val="24"/>
          <w:szCs w:val="24"/>
        </w:rPr>
      </w:pPr>
      <w:r w:rsidRPr="001112A8">
        <w:rPr>
          <w:rFonts w:eastAsia="Kumbh Sans"/>
          <w:b/>
          <w:bCs/>
          <w:sz w:val="24"/>
          <w:szCs w:val="24"/>
        </w:rPr>
        <w:t>Media Contact</w:t>
      </w:r>
    </w:p>
    <w:p w14:paraId="00000010" w14:textId="77777777" w:rsidR="008C2B7F" w:rsidRPr="001112A8" w:rsidRDefault="001112A8">
      <w:pPr>
        <w:spacing w:before="240" w:after="240"/>
        <w:rPr>
          <w:rFonts w:eastAsia="Kumbh Sans"/>
          <w:sz w:val="24"/>
          <w:szCs w:val="24"/>
        </w:rPr>
      </w:pPr>
      <w:r w:rsidRPr="001112A8">
        <w:rPr>
          <w:rFonts w:eastAsia="Kumbh Sans"/>
          <w:sz w:val="24"/>
          <w:szCs w:val="24"/>
        </w:rPr>
        <w:t>Christine Douglass, Illumina Public Relations</w:t>
      </w:r>
    </w:p>
    <w:p w14:paraId="00000011" w14:textId="77777777" w:rsidR="008C2B7F" w:rsidRPr="001112A8" w:rsidRDefault="008C2B7F">
      <w:pPr>
        <w:spacing w:before="240" w:after="240"/>
      </w:pPr>
      <w:hyperlink r:id="rId16">
        <w:r w:rsidRPr="001112A8">
          <w:rPr>
            <w:rFonts w:eastAsia="Kumbh Sans"/>
            <w:color w:val="0000FF"/>
            <w:sz w:val="24"/>
            <w:szCs w:val="24"/>
            <w:u w:val="single"/>
          </w:rPr>
          <w:t>PR@illumina.com</w:t>
        </w:r>
      </w:hyperlink>
    </w:p>
    <w:p w14:paraId="00000012" w14:textId="77777777" w:rsidR="008C2B7F" w:rsidRPr="001112A8" w:rsidRDefault="001112A8">
      <w:pPr>
        <w:spacing w:line="240" w:lineRule="auto"/>
        <w:rPr>
          <w:rFonts w:eastAsia="Kumbh Sans"/>
          <w:sz w:val="24"/>
          <w:szCs w:val="24"/>
        </w:rPr>
      </w:pPr>
      <w:r w:rsidRPr="001112A8">
        <w:rPr>
          <w:rFonts w:eastAsia="Kumbh Sans"/>
          <w:sz w:val="24"/>
          <w:szCs w:val="24"/>
        </w:rPr>
        <w:t>Darisha Jiandani, Head of Marketing</w:t>
      </w:r>
    </w:p>
    <w:p w14:paraId="00000013" w14:textId="20262DEB" w:rsidR="008C2B7F" w:rsidRPr="001112A8" w:rsidRDefault="00217CA1">
      <w:pPr>
        <w:spacing w:line="240" w:lineRule="auto"/>
        <w:rPr>
          <w:rFonts w:eastAsia="Kumbh Sans"/>
          <w:sz w:val="24"/>
          <w:szCs w:val="24"/>
        </w:rPr>
      </w:pPr>
      <w:hyperlink r:id="rId17" w:history="1">
        <w:r w:rsidRPr="001112A8">
          <w:rPr>
            <w:rStyle w:val="Hyperlink"/>
            <w:rFonts w:eastAsia="Kumbh Sans"/>
            <w:sz w:val="24"/>
            <w:szCs w:val="24"/>
          </w:rPr>
          <w:t>press@myome.com</w:t>
        </w:r>
      </w:hyperlink>
      <w:r w:rsidRPr="001112A8">
        <w:rPr>
          <w:rFonts w:eastAsia="Kumbh Sans"/>
          <w:sz w:val="24"/>
          <w:szCs w:val="24"/>
        </w:rPr>
        <w:t xml:space="preserve"> </w:t>
      </w:r>
      <w:r w:rsidRPr="001112A8">
        <w:rPr>
          <w:rFonts w:eastAsia="Kumbh Sans"/>
          <w:sz w:val="24"/>
          <w:szCs w:val="24"/>
        </w:rPr>
        <w:br/>
      </w:r>
    </w:p>
    <w:p w14:paraId="00000014" w14:textId="77777777" w:rsidR="008C2B7F" w:rsidRPr="001112A8" w:rsidRDefault="001112A8">
      <w:pPr>
        <w:rPr>
          <w:rFonts w:eastAsia="Kumbh Sans"/>
          <w:sz w:val="24"/>
          <w:szCs w:val="24"/>
        </w:rPr>
      </w:pPr>
      <w:r w:rsidRPr="001112A8">
        <w:rPr>
          <w:noProof/>
        </w:rPr>
        <w:pict w14:anchorId="58782714">
          <v:rect id="_x0000_i1025" alt="" style="width:468pt;height:.05pt;mso-width-percent:0;mso-height-percent:0;mso-width-percent:0;mso-height-percent:0" o:hralign="center" o:hrstd="t" o:hr="t" fillcolor="#a0a0a0" stroked="f"/>
        </w:pict>
      </w:r>
    </w:p>
    <w:p w14:paraId="00000015" w14:textId="77777777" w:rsidR="008C2B7F" w:rsidRPr="001112A8" w:rsidRDefault="001112A8">
      <w:pPr>
        <w:spacing w:before="240" w:after="240"/>
        <w:rPr>
          <w:rFonts w:eastAsia="Kumbh Sans"/>
          <w:b/>
          <w:bCs/>
          <w:sz w:val="24"/>
          <w:szCs w:val="24"/>
        </w:rPr>
      </w:pPr>
      <w:r w:rsidRPr="001112A8">
        <w:rPr>
          <w:rFonts w:eastAsia="Kumbh Sans"/>
          <w:b/>
          <w:bCs/>
          <w:sz w:val="24"/>
          <w:szCs w:val="24"/>
        </w:rPr>
        <w:t>References</w:t>
      </w:r>
    </w:p>
    <w:p w14:paraId="00000016" w14:textId="77777777" w:rsidR="008C2B7F" w:rsidRPr="001112A8" w:rsidRDefault="001112A8">
      <w:pPr>
        <w:numPr>
          <w:ilvl w:val="0"/>
          <w:numId w:val="1"/>
        </w:numPr>
        <w:spacing w:before="240"/>
        <w:rPr>
          <w:rFonts w:eastAsia="Kumbh Sans"/>
          <w:sz w:val="24"/>
          <w:szCs w:val="24"/>
        </w:rPr>
      </w:pPr>
      <w:r w:rsidRPr="001112A8">
        <w:rPr>
          <w:rFonts w:eastAsia="Kumbh Sans"/>
          <w:sz w:val="24"/>
          <w:szCs w:val="24"/>
        </w:rPr>
        <w:t xml:space="preserve">National Human Genome Research Institute. </w:t>
      </w:r>
      <w:r w:rsidRPr="001112A8">
        <w:rPr>
          <w:rFonts w:eastAsia="Kumbh Sans"/>
          <w:i/>
          <w:iCs/>
          <w:sz w:val="24"/>
          <w:szCs w:val="24"/>
        </w:rPr>
        <w:t>The Cost of Genome Sequencing and Its Impact on Healthcare.</w:t>
      </w:r>
      <w:r w:rsidRPr="001112A8">
        <w:rPr>
          <w:rFonts w:eastAsia="Kumbh Sans"/>
          <w:sz w:val="24"/>
          <w:szCs w:val="24"/>
        </w:rPr>
        <w:t xml:space="preserve"> (NIH, 2023).</w:t>
      </w:r>
    </w:p>
    <w:p w14:paraId="00000017" w14:textId="77777777" w:rsidR="008C2B7F" w:rsidRPr="001112A8" w:rsidRDefault="001112A8">
      <w:pPr>
        <w:numPr>
          <w:ilvl w:val="0"/>
          <w:numId w:val="1"/>
        </w:numPr>
        <w:spacing w:after="240"/>
        <w:rPr>
          <w:rFonts w:eastAsia="Kumbh Sans"/>
          <w:sz w:val="24"/>
          <w:szCs w:val="24"/>
        </w:rPr>
      </w:pPr>
      <w:r w:rsidRPr="001112A8">
        <w:rPr>
          <w:rFonts w:eastAsia="Kumbh Sans"/>
          <w:sz w:val="24"/>
          <w:szCs w:val="24"/>
        </w:rPr>
        <w:t xml:space="preserve">Phillips, K.A., et al. </w:t>
      </w:r>
      <w:r w:rsidRPr="001112A8">
        <w:rPr>
          <w:rFonts w:eastAsia="Kumbh Sans"/>
          <w:i/>
          <w:iCs/>
          <w:sz w:val="24"/>
          <w:szCs w:val="24"/>
        </w:rPr>
        <w:t>Potential Economic Value of Precision Medicine: Implications for U.S. Healthcare.</w:t>
      </w:r>
      <w:r w:rsidRPr="001112A8">
        <w:rPr>
          <w:rFonts w:eastAsia="Kumbh Sans"/>
          <w:sz w:val="24"/>
          <w:szCs w:val="24"/>
        </w:rPr>
        <w:t xml:space="preserve"> Health Affairs, 2022.</w:t>
      </w:r>
    </w:p>
    <w:p w14:paraId="00000018" w14:textId="77777777" w:rsidR="008C2B7F" w:rsidRPr="001112A8" w:rsidRDefault="008C2B7F">
      <w:pPr>
        <w:rPr>
          <w:rFonts w:eastAsia="Kumbh Sans"/>
          <w:b/>
          <w:bCs/>
          <w:sz w:val="24"/>
          <w:szCs w:val="24"/>
        </w:rPr>
      </w:pPr>
    </w:p>
    <w:sectPr w:rsidR="008C2B7F" w:rsidRPr="001112A8">
      <w:head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FC12C" w14:textId="77777777" w:rsidR="008A5EE3" w:rsidRDefault="008A5EE3" w:rsidP="00B56824">
      <w:pPr>
        <w:spacing w:line="240" w:lineRule="auto"/>
      </w:pPr>
      <w:r>
        <w:separator/>
      </w:r>
    </w:p>
  </w:endnote>
  <w:endnote w:type="continuationSeparator" w:id="0">
    <w:p w14:paraId="5ECB66C4" w14:textId="77777777" w:rsidR="008A5EE3" w:rsidRDefault="008A5EE3" w:rsidP="00B568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umbh Sans">
    <w:charset w:val="00"/>
    <w:family w:val="auto"/>
    <w:pitch w:val="default"/>
    <w:embedRegular r:id="rId1" w:fontKey="{ACCAD68D-D76A-4AFE-92EB-C8571AB7878D}"/>
    <w:embedBold r:id="rId2" w:fontKey="{B7A8BF00-2C4E-41EA-AEF0-2EC1C9D117C8}"/>
    <w:embedItalic r:id="rId3" w:fontKey="{493BDD92-25EF-429D-9CE2-31A081CE5BAF}"/>
  </w:font>
  <w:font w:name="Calibri">
    <w:panose1 w:val="020F0502020204030204"/>
    <w:charset w:val="00"/>
    <w:family w:val="swiss"/>
    <w:pitch w:val="variable"/>
    <w:sig w:usb0="E4002EFF" w:usb1="C200247B" w:usb2="00000009" w:usb3="00000000" w:csb0="000001FF" w:csb1="00000000"/>
    <w:embedRegular r:id="rId4" w:fontKey="{F044C4E4-E701-4E93-8FC1-D9116AC5A51E}"/>
  </w:font>
  <w:font w:name="Cambria">
    <w:panose1 w:val="02040503050406030204"/>
    <w:charset w:val="00"/>
    <w:family w:val="roman"/>
    <w:pitch w:val="variable"/>
    <w:sig w:usb0="E00006FF" w:usb1="420024FF" w:usb2="02000000" w:usb3="00000000" w:csb0="0000019F" w:csb1="00000000"/>
    <w:embedRegular r:id="rId5" w:fontKey="{FB7E0FDE-8EE0-4E80-BFB3-1A8D5BC120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B805F" w14:textId="77777777" w:rsidR="008A5EE3" w:rsidRDefault="008A5EE3" w:rsidP="00B56824">
      <w:pPr>
        <w:spacing w:line="240" w:lineRule="auto"/>
      </w:pPr>
      <w:r>
        <w:separator/>
      </w:r>
    </w:p>
  </w:footnote>
  <w:footnote w:type="continuationSeparator" w:id="0">
    <w:p w14:paraId="15434335" w14:textId="77777777" w:rsidR="008A5EE3" w:rsidRDefault="008A5EE3" w:rsidP="00B568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8996" w14:textId="2ACA44A3" w:rsidR="002F7C3D" w:rsidRDefault="00B96F46" w:rsidP="00B96F46">
    <w:pPr>
      <w:pStyle w:val="Header"/>
      <w:jc w:val="both"/>
    </w:pPr>
    <w:r>
      <w:rPr>
        <w:color w:val="EE0000"/>
      </w:rPr>
      <w:t xml:space="preserve">     </w:t>
    </w:r>
    <w:r w:rsidR="00F25867">
      <w:rPr>
        <w:noProof/>
      </w:rPr>
      <w:t xml:space="preserve">     </w:t>
    </w:r>
  </w:p>
  <w:p w14:paraId="45522F0A" w14:textId="54605EA7" w:rsidR="00F25867" w:rsidRDefault="00F25867" w:rsidP="00F25867">
    <w:pPr>
      <w:pStyle w:val="Header"/>
      <w:jc w:val="right"/>
      <w:rPr>
        <w:color w:val="EE0000"/>
      </w:rPr>
    </w:pPr>
  </w:p>
  <w:p w14:paraId="37CC59C6" w14:textId="77777777" w:rsidR="0047139F" w:rsidRPr="002F7C3D" w:rsidRDefault="0047139F" w:rsidP="00F84554">
    <w:pPr>
      <w:pStyle w:val="Header"/>
      <w:rPr>
        <w:color w:val="EE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47B2B"/>
    <w:multiLevelType w:val="multilevel"/>
    <w:tmpl w:val="EA5EA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75635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B7F"/>
    <w:rsid w:val="00040019"/>
    <w:rsid w:val="001102FC"/>
    <w:rsid w:val="001112A8"/>
    <w:rsid w:val="0019444F"/>
    <w:rsid w:val="00217CA1"/>
    <w:rsid w:val="002F7C3D"/>
    <w:rsid w:val="0047139F"/>
    <w:rsid w:val="005826AE"/>
    <w:rsid w:val="005F02DA"/>
    <w:rsid w:val="0061085F"/>
    <w:rsid w:val="00695096"/>
    <w:rsid w:val="007263BD"/>
    <w:rsid w:val="008A5EE3"/>
    <w:rsid w:val="008C2B7F"/>
    <w:rsid w:val="00920A65"/>
    <w:rsid w:val="00A61C8F"/>
    <w:rsid w:val="00B56824"/>
    <w:rsid w:val="00B66D04"/>
    <w:rsid w:val="00B96F46"/>
    <w:rsid w:val="00F25867"/>
    <w:rsid w:val="00F84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76B8677"/>
  <w15:docId w15:val="{26A2DE82-417E-9D44-B727-494C550F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Revision">
    <w:name w:val="Revision"/>
    <w:hidden/>
    <w:uiPriority w:val="99"/>
    <w:semiHidden/>
    <w:rsid w:val="002D2A88"/>
    <w:pPr>
      <w:spacing w:line="240" w:lineRule="auto"/>
    </w:pPr>
  </w:style>
  <w:style w:type="character" w:styleId="CommentReference">
    <w:name w:val="annotation reference"/>
    <w:basedOn w:val="DefaultParagraphFont"/>
    <w:uiPriority w:val="99"/>
    <w:semiHidden/>
    <w:unhideWhenUsed/>
    <w:rsid w:val="00647860"/>
    <w:rPr>
      <w:sz w:val="16"/>
      <w:szCs w:val="16"/>
    </w:rPr>
  </w:style>
  <w:style w:type="paragraph" w:styleId="CommentText">
    <w:name w:val="annotation text"/>
    <w:basedOn w:val="Normal"/>
    <w:link w:val="CommentTextChar"/>
    <w:uiPriority w:val="99"/>
    <w:semiHidden/>
    <w:unhideWhenUsed/>
    <w:rsid w:val="00647860"/>
    <w:pPr>
      <w:spacing w:line="240" w:lineRule="auto"/>
    </w:pPr>
    <w:rPr>
      <w:sz w:val="20"/>
      <w:szCs w:val="20"/>
    </w:rPr>
  </w:style>
  <w:style w:type="character" w:customStyle="1" w:styleId="CommentTextChar">
    <w:name w:val="Comment Text Char"/>
    <w:basedOn w:val="DefaultParagraphFont"/>
    <w:link w:val="CommentText"/>
    <w:uiPriority w:val="99"/>
    <w:semiHidden/>
    <w:rsid w:val="00647860"/>
    <w:rPr>
      <w:sz w:val="20"/>
      <w:szCs w:val="20"/>
    </w:rPr>
  </w:style>
  <w:style w:type="paragraph" w:styleId="CommentSubject">
    <w:name w:val="annotation subject"/>
    <w:basedOn w:val="CommentText"/>
    <w:next w:val="CommentText"/>
    <w:link w:val="CommentSubjectChar"/>
    <w:uiPriority w:val="99"/>
    <w:semiHidden/>
    <w:unhideWhenUsed/>
    <w:rsid w:val="00647860"/>
    <w:rPr>
      <w:b/>
      <w:bCs/>
    </w:rPr>
  </w:style>
  <w:style w:type="character" w:customStyle="1" w:styleId="CommentSubjectChar">
    <w:name w:val="Comment Subject Char"/>
    <w:basedOn w:val="CommentTextChar"/>
    <w:link w:val="CommentSubject"/>
    <w:uiPriority w:val="99"/>
    <w:semiHidden/>
    <w:rsid w:val="00647860"/>
    <w:rPr>
      <w:b/>
      <w:bCs/>
      <w:sz w:val="20"/>
      <w:szCs w:val="20"/>
    </w:rPr>
  </w:style>
  <w:style w:type="paragraph" w:styleId="NormalWeb">
    <w:name w:val="Normal (Web)"/>
    <w:basedOn w:val="Normal"/>
    <w:uiPriority w:val="99"/>
    <w:semiHidden/>
    <w:unhideWhenUsed/>
    <w:rsid w:val="00033B3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033B35"/>
  </w:style>
  <w:style w:type="character" w:styleId="Hyperlink">
    <w:name w:val="Hyperlink"/>
    <w:basedOn w:val="DefaultParagraphFont"/>
    <w:uiPriority w:val="99"/>
    <w:unhideWhenUsed/>
    <w:rsid w:val="00033B35"/>
    <w:rPr>
      <w:color w:val="0000FF"/>
      <w:u w:val="single"/>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B56824"/>
    <w:pPr>
      <w:tabs>
        <w:tab w:val="center" w:pos="4680"/>
        <w:tab w:val="right" w:pos="9360"/>
      </w:tabs>
      <w:spacing w:line="240" w:lineRule="auto"/>
    </w:pPr>
  </w:style>
  <w:style w:type="character" w:customStyle="1" w:styleId="HeaderChar">
    <w:name w:val="Header Char"/>
    <w:basedOn w:val="DefaultParagraphFont"/>
    <w:link w:val="Header"/>
    <w:uiPriority w:val="99"/>
    <w:rsid w:val="00B56824"/>
  </w:style>
  <w:style w:type="paragraph" w:styleId="Footer">
    <w:name w:val="footer"/>
    <w:basedOn w:val="Normal"/>
    <w:link w:val="FooterChar"/>
    <w:uiPriority w:val="99"/>
    <w:unhideWhenUsed/>
    <w:rsid w:val="00B56824"/>
    <w:pPr>
      <w:tabs>
        <w:tab w:val="center" w:pos="4680"/>
        <w:tab w:val="right" w:pos="9360"/>
      </w:tabs>
      <w:spacing w:line="240" w:lineRule="auto"/>
    </w:pPr>
  </w:style>
  <w:style w:type="character" w:customStyle="1" w:styleId="FooterChar">
    <w:name w:val="Footer Char"/>
    <w:basedOn w:val="DefaultParagraphFont"/>
    <w:link w:val="Footer"/>
    <w:uiPriority w:val="99"/>
    <w:rsid w:val="00B56824"/>
  </w:style>
  <w:style w:type="character" w:styleId="UnresolvedMention">
    <w:name w:val="Unresolved Mention"/>
    <w:basedOn w:val="DefaultParagraphFont"/>
    <w:uiPriority w:val="99"/>
    <w:semiHidden/>
    <w:unhideWhenUsed/>
    <w:rsid w:val="00217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dge.prnewswire.com/c/link/?t=0&amp;l=en&amp;o=4533238-1&amp;h=3683149863&amp;u=https%3A%2F%2Fwww.illumina.com%2F&amp;a=illumina.com" TargetMode="External"/><Relationship Id="rId13" Type="http://schemas.openxmlformats.org/officeDocument/2006/relationships/hyperlink" Target="https://edge.prnewswire.com/c/link/?t=0&amp;l=en&amp;o=4533238-1&amp;h=2151440401&amp;u=https%3A%2F%2Fwww.tiktok.com%2F%40illuminainc&amp;a=TikTo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ge.prnewswire.com/c/link/?t=0&amp;l=en&amp;o=4533238-1&amp;h=2588488514&amp;u=https%3A%2F%2Fwww.instagram.com%2Filluminainc&amp;a=Instagram" TargetMode="External"/><Relationship Id="rId17" Type="http://schemas.openxmlformats.org/officeDocument/2006/relationships/hyperlink" Target="mailto:press@myome.com" TargetMode="External"/><Relationship Id="rId2" Type="http://schemas.openxmlformats.org/officeDocument/2006/relationships/numbering" Target="numbering.xml"/><Relationship Id="rId16" Type="http://schemas.openxmlformats.org/officeDocument/2006/relationships/hyperlink" Target="mailto:PR@illumin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ge.prnewswire.com/c/link/?t=0&amp;l=en&amp;o=4533238-1&amp;h=4201185056&amp;u=https%3A%2F%2Fwww.linkedin.com%2Fcompany%2Fillumina&amp;a=LinkedIn" TargetMode="External"/><Relationship Id="rId5" Type="http://schemas.openxmlformats.org/officeDocument/2006/relationships/webSettings" Target="webSettings.xml"/><Relationship Id="rId15" Type="http://schemas.openxmlformats.org/officeDocument/2006/relationships/hyperlink" Target="https://myome.com/" TargetMode="External"/><Relationship Id="rId10" Type="http://schemas.openxmlformats.org/officeDocument/2006/relationships/hyperlink" Target="https://edge.prnewswire.com/c/link/?t=0&amp;l=en&amp;o=4533238-1&amp;h=1958221095&amp;u=https%3A%2F%2Fwww.facebook.com%2Filluminainc&amp;a=Faceboo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ge.prnewswire.com/c/link/?t=0&amp;l=en&amp;o=4533238-1&amp;h=2366529089&amp;u=https%3A%2F%2Ftwitter.com%2Fillumina&amp;a=X" TargetMode="External"/><Relationship Id="rId14" Type="http://schemas.openxmlformats.org/officeDocument/2006/relationships/hyperlink" Target="https://edge.prnewswire.com/c/link/?t=0&amp;l=en&amp;o=4533238-1&amp;h=531043887&amp;u=https%3A%2F%2Fwww.youtube.com%2Fuser%2FIlluminaInc&amp;a=YouTub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PEsijzLYDSCtfhIstwZL6yTT+Q==">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853</Words>
  <Characters>5303</Characters>
  <Application>Microsoft Office Word</Application>
  <DocSecurity>0</DocSecurity>
  <Lines>94</Lines>
  <Paragraphs>30</Paragraphs>
  <ScaleCrop>false</ScaleCrop>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Beal, Samantha</cp:lastModifiedBy>
  <cp:revision>2</cp:revision>
  <cp:lastPrinted>2025-12-10T00:33:00Z</cp:lastPrinted>
  <dcterms:created xsi:type="dcterms:W3CDTF">2025-12-11T14:40:00Z</dcterms:created>
  <dcterms:modified xsi:type="dcterms:W3CDTF">2025-12-11T14:40:00Z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0x010100EFA3305839C2B44F9EF92E82E308DECC</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{"FileActivityType":"8","FileActivityTimeStamp":"2025-12-04T19:38:25.840Z","FileActivityUsersOnPage":[{"DisplayName":"Cernera, Philip","Id":"pcernera@illumina.com"}],"FileActivityNavigationId":null}</vt:lpwstr>
  </property>
  <property fmtid="{D5CDD505-2E9C-101B-9397-08002B2CF9AE}" pid="9" name="TriggerFlowInfo">
    <vt:lpwstr/>
  </property>
  <property fmtid="{D5CDD505-2E9C-101B-9397-08002B2CF9AE}" pid="10" name="docLang">
    <vt:lpwstr>en</vt:lpwstr>
  </property>
</Properties>
</file>